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F6886" w14:textId="250538ED" w:rsidR="00722B9B" w:rsidRPr="005336CD" w:rsidRDefault="00722B9B" w:rsidP="00722B9B">
      <w:pPr>
        <w:pStyle w:val="Header"/>
        <w:tabs>
          <w:tab w:val="right" w:pos="9639"/>
        </w:tabs>
        <w:rPr>
          <w:bCs/>
          <w:noProof w:val="0"/>
          <w:sz w:val="24"/>
          <w:szCs w:val="24"/>
        </w:rPr>
      </w:pPr>
      <w:bookmarkStart w:id="0" w:name="_Hlk37418177"/>
      <w:bookmarkStart w:id="1" w:name="_GoBack"/>
      <w:bookmarkEnd w:id="1"/>
      <w:r w:rsidRPr="005336CD">
        <w:rPr>
          <w:bCs/>
          <w:noProof w:val="0"/>
          <w:sz w:val="24"/>
          <w:szCs w:val="24"/>
        </w:rPr>
        <w:t>3GPP TSG RAN WG1 #102</w:t>
      </w:r>
      <w:r w:rsidRPr="005336CD">
        <w:rPr>
          <w:bCs/>
          <w:noProof w:val="0"/>
          <w:sz w:val="24"/>
          <w:szCs w:val="24"/>
        </w:rPr>
        <w:tab/>
      </w:r>
      <w:r w:rsidR="001638A8" w:rsidRPr="001638A8">
        <w:rPr>
          <w:bCs/>
          <w:noProof w:val="0"/>
          <w:sz w:val="24"/>
          <w:szCs w:val="24"/>
        </w:rPr>
        <w:t>R1-2005906</w:t>
      </w:r>
    </w:p>
    <w:p w14:paraId="4C19D098" w14:textId="004DADBA" w:rsidR="00722B9B" w:rsidRDefault="00722B9B" w:rsidP="00722B9B">
      <w:pPr>
        <w:pStyle w:val="Header"/>
        <w:rPr>
          <w:bCs/>
          <w:noProof w:val="0"/>
          <w:sz w:val="24"/>
          <w:szCs w:val="24"/>
        </w:rPr>
      </w:pPr>
      <w:r w:rsidRPr="005336CD">
        <w:rPr>
          <w:bCs/>
          <w:noProof w:val="0"/>
          <w:sz w:val="24"/>
          <w:szCs w:val="24"/>
        </w:rPr>
        <w:t>e-Meeting, August 17</w:t>
      </w:r>
      <w:r w:rsidRPr="005336CD">
        <w:rPr>
          <w:bCs/>
          <w:noProof w:val="0"/>
          <w:sz w:val="24"/>
          <w:szCs w:val="24"/>
          <w:vertAlign w:val="superscript"/>
        </w:rPr>
        <w:t>th</w:t>
      </w:r>
      <w:r w:rsidRPr="005336CD">
        <w:rPr>
          <w:bCs/>
          <w:noProof w:val="0"/>
          <w:sz w:val="24"/>
          <w:szCs w:val="24"/>
        </w:rPr>
        <w:t xml:space="preserve"> – </w:t>
      </w:r>
      <w:r w:rsidR="001638A8" w:rsidRPr="005336CD">
        <w:rPr>
          <w:bCs/>
          <w:noProof w:val="0"/>
          <w:sz w:val="24"/>
          <w:szCs w:val="24"/>
        </w:rPr>
        <w:t>2</w:t>
      </w:r>
      <w:r w:rsidR="001638A8">
        <w:rPr>
          <w:bCs/>
          <w:noProof w:val="0"/>
          <w:sz w:val="24"/>
          <w:szCs w:val="24"/>
        </w:rPr>
        <w:t>8</w:t>
      </w:r>
      <w:r w:rsidR="001638A8" w:rsidRPr="005336CD">
        <w:rPr>
          <w:bCs/>
          <w:noProof w:val="0"/>
          <w:sz w:val="24"/>
          <w:szCs w:val="24"/>
          <w:vertAlign w:val="superscript"/>
        </w:rPr>
        <w:t>th</w:t>
      </w:r>
      <w:r w:rsidRPr="005336CD">
        <w:rPr>
          <w:bCs/>
          <w:noProof w:val="0"/>
          <w:sz w:val="24"/>
          <w:szCs w:val="24"/>
        </w:rPr>
        <w:t>, 2020</w:t>
      </w:r>
    </w:p>
    <w:bookmarkEnd w:id="0"/>
    <w:p w14:paraId="3E264B61" w14:textId="77777777" w:rsidR="00BB6C5F" w:rsidRPr="000A44DE" w:rsidRDefault="00BB6C5F" w:rsidP="00BB6C5F">
      <w:pPr>
        <w:pStyle w:val="Header"/>
        <w:rPr>
          <w:bCs/>
          <w:noProof w:val="0"/>
          <w:sz w:val="24"/>
          <w:lang w:eastAsia="ja-JP"/>
        </w:rPr>
      </w:pPr>
    </w:p>
    <w:p w14:paraId="5E26A440" w14:textId="7B81DC4B" w:rsidR="00BB6C5F" w:rsidRPr="00ED270C" w:rsidRDefault="00BB6C5F" w:rsidP="00BB6C5F">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r w:rsidRPr="005B36C5">
        <w:rPr>
          <w:rFonts w:ascii="Arial,SimSun" w:eastAsia="Arial,SimSun" w:hAnsi="Arial,SimSun" w:cs="Arial,SimSun"/>
          <w:b/>
          <w:bCs/>
          <w:sz w:val="24"/>
          <w:szCs w:val="24"/>
        </w:rPr>
        <w:t>.</w:t>
      </w:r>
      <w:r w:rsidR="003739E0">
        <w:rPr>
          <w:b/>
          <w:bCs/>
          <w:sz w:val="24"/>
          <w:szCs w:val="24"/>
        </w:rPr>
        <w:t>2</w:t>
      </w:r>
      <w:r w:rsidRPr="005B36C5">
        <w:rPr>
          <w:b/>
          <w:bCs/>
          <w:sz w:val="24"/>
          <w:szCs w:val="24"/>
        </w:rPr>
        <w:t>.</w:t>
      </w:r>
      <w:r w:rsidR="003739E0">
        <w:rPr>
          <w:b/>
          <w:bCs/>
          <w:sz w:val="24"/>
          <w:szCs w:val="24"/>
        </w:rPr>
        <w:t>5</w:t>
      </w:r>
    </w:p>
    <w:p w14:paraId="0B780731" w14:textId="77777777" w:rsidR="00BB6C5F" w:rsidRPr="008B020C" w:rsidRDefault="00BB6C5F" w:rsidP="00BB6C5F">
      <w:pPr>
        <w:tabs>
          <w:tab w:val="left" w:pos="1985"/>
        </w:tabs>
        <w:spacing w:after="120"/>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Source:</w:t>
      </w:r>
      <w:r w:rsidRPr="008B020C">
        <w:rPr>
          <w:rFonts w:ascii="Arial" w:hAnsi="Arial" w:cs="Arial"/>
          <w:b/>
          <w:bCs/>
          <w:sz w:val="24"/>
          <w:lang w:val="en-US"/>
        </w:rPr>
        <w:tab/>
      </w:r>
      <w:r w:rsidRPr="008B020C">
        <w:rPr>
          <w:rFonts w:ascii="Arial" w:eastAsia="Arial" w:hAnsi="Arial" w:cs="Arial"/>
          <w:b/>
          <w:bCs/>
          <w:sz w:val="24"/>
          <w:szCs w:val="24"/>
          <w:lang w:val="en-US"/>
        </w:rPr>
        <w:t>Nokia, Nokia Shanghai Bell</w:t>
      </w:r>
    </w:p>
    <w:p w14:paraId="16B89169" w14:textId="29D2D875" w:rsidR="00BB6C5F" w:rsidRPr="008B020C" w:rsidRDefault="00BB6C5F" w:rsidP="00BB6C5F">
      <w:pPr>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Title:</w:t>
      </w:r>
      <w:r w:rsidRPr="008B020C">
        <w:rPr>
          <w:rFonts w:ascii="Arial" w:hAnsi="Arial" w:cs="Arial"/>
          <w:b/>
          <w:bCs/>
          <w:sz w:val="24"/>
          <w:lang w:val="en-US"/>
        </w:rPr>
        <w:tab/>
      </w:r>
      <w:r w:rsidR="00317A3F">
        <w:rPr>
          <w:rFonts w:ascii="Arial" w:hAnsi="Arial" w:cs="Arial"/>
          <w:b/>
          <w:bCs/>
          <w:sz w:val="24"/>
          <w:lang w:val="en-US"/>
        </w:rPr>
        <w:t>Remaining issues o</w:t>
      </w:r>
      <w:r w:rsidRPr="008B020C">
        <w:rPr>
          <w:rFonts w:ascii="Arial" w:hAnsi="Arial" w:cs="Arial"/>
          <w:b/>
          <w:bCs/>
          <w:sz w:val="24"/>
          <w:lang w:val="en-US"/>
        </w:rPr>
        <w:t xml:space="preserve">n </w:t>
      </w:r>
      <w:r>
        <w:rPr>
          <w:rFonts w:ascii="Arial" w:eastAsia="Arial" w:hAnsi="Arial" w:cs="Arial"/>
          <w:b/>
          <w:bCs/>
          <w:sz w:val="24"/>
          <w:szCs w:val="24"/>
          <w:lang w:val="en-US"/>
        </w:rPr>
        <w:t>WB operation in NR-U</w:t>
      </w:r>
      <w:r w:rsidRPr="008B020C">
        <w:rPr>
          <w:rFonts w:ascii="Arial" w:eastAsia="Arial" w:hAnsi="Arial" w:cs="Arial"/>
          <w:b/>
          <w:bCs/>
          <w:sz w:val="24"/>
          <w:szCs w:val="24"/>
          <w:lang w:val="en-US"/>
        </w:rPr>
        <w:t xml:space="preserve"> </w:t>
      </w:r>
    </w:p>
    <w:p w14:paraId="41AF1BDF" w14:textId="77777777" w:rsidR="00BB6C5F" w:rsidRPr="004C3C27" w:rsidRDefault="00BB6C5F" w:rsidP="00BB6C5F">
      <w:pPr>
        <w:rPr>
          <w:rFonts w:ascii="Arial" w:eastAsia="Arial" w:hAnsi="Arial" w:cs="Arial"/>
          <w:b/>
          <w:bCs/>
          <w:sz w:val="24"/>
          <w:szCs w:val="24"/>
          <w:lang w:val="en-US"/>
        </w:rPr>
      </w:pPr>
      <w:r w:rsidRPr="004C3C27">
        <w:rPr>
          <w:rFonts w:ascii="Arial" w:eastAsia="Arial" w:hAnsi="Arial" w:cs="Arial"/>
          <w:b/>
          <w:bCs/>
          <w:sz w:val="24"/>
          <w:szCs w:val="24"/>
          <w:lang w:val="en-US"/>
        </w:rPr>
        <w:t>Document for:</w:t>
      </w:r>
      <w:r w:rsidRPr="004C3C27">
        <w:rPr>
          <w:rFonts w:ascii="Arial" w:hAnsi="Arial" w:cs="Arial"/>
          <w:b/>
          <w:bCs/>
          <w:sz w:val="24"/>
          <w:lang w:val="en-US"/>
        </w:rPr>
        <w:tab/>
      </w:r>
      <w:r w:rsidRPr="004C3C27">
        <w:rPr>
          <w:rFonts w:ascii="Arial" w:hAnsi="Arial" w:cs="Arial"/>
          <w:b/>
          <w:bCs/>
          <w:sz w:val="24"/>
          <w:lang w:val="en-US"/>
        </w:rPr>
        <w:tab/>
      </w:r>
      <w:r w:rsidRPr="004C3C27">
        <w:rPr>
          <w:rFonts w:ascii="Arial" w:eastAsia="Arial" w:hAnsi="Arial" w:cs="Arial"/>
          <w:b/>
          <w:bCs/>
          <w:sz w:val="24"/>
          <w:szCs w:val="24"/>
          <w:lang w:val="en-US"/>
        </w:rPr>
        <w:t>Discussion and Decision</w:t>
      </w:r>
    </w:p>
    <w:p w14:paraId="75CD12B9" w14:textId="77777777" w:rsidR="00BB6C5F" w:rsidRPr="0027454F" w:rsidRDefault="00BB6C5F" w:rsidP="003B3014">
      <w:pPr>
        <w:pStyle w:val="Heading1"/>
      </w:pPr>
      <w:bookmarkStart w:id="2" w:name="_Hlk23262468"/>
      <w:r w:rsidRPr="0027454F">
        <w:t>Introduction</w:t>
      </w:r>
      <w:bookmarkEnd w:id="2"/>
    </w:p>
    <w:p w14:paraId="575445CE" w14:textId="77777777" w:rsidR="00BB6C5F" w:rsidRPr="008B020C" w:rsidRDefault="00BB6C5F" w:rsidP="00BB6C5F">
      <w:pPr>
        <w:spacing w:after="120"/>
        <w:rPr>
          <w:rFonts w:eastAsia="Times New Roman"/>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xml:space="preserve">. Before that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p>
    <w:p w14:paraId="5706E0C0" w14:textId="77777777" w:rsidR="00BB6C5F" w:rsidRPr="008B020C" w:rsidRDefault="00BB6C5F" w:rsidP="00BB6C5F">
      <w:pPr>
        <w:rPr>
          <w:lang w:val="en-US"/>
        </w:rPr>
      </w:pPr>
      <w:r w:rsidRPr="008B020C">
        <w:rPr>
          <w:lang w:val="en-US"/>
        </w:rPr>
        <w:t xml:space="preserve">In RAN plenary #84, down-scoping of features has been agreed in </w:t>
      </w:r>
      <w:r>
        <w:fldChar w:fldCharType="begin"/>
      </w:r>
      <w:r w:rsidRPr="008B020C">
        <w:rPr>
          <w:lang w:val="en-US"/>
        </w:rPr>
        <w:instrText xml:space="preserve"> REF _Ref15459134 \r \h </w:instrText>
      </w:r>
      <w:r>
        <w:fldChar w:fldCharType="separate"/>
      </w:r>
      <w:r w:rsidRPr="008B020C">
        <w:rPr>
          <w:lang w:val="en-US"/>
        </w:rPr>
        <w:t>[3]</w:t>
      </w:r>
      <w:r>
        <w:fldChar w:fldCharType="end"/>
      </w:r>
      <w:r w:rsidRPr="008B020C">
        <w:rPr>
          <w:lang w:val="en-US"/>
        </w:rPr>
        <w:t>. The relevant scope agreed for this sub-agenda is the following:</w:t>
      </w:r>
    </w:p>
    <w:p w14:paraId="25DA496A" w14:textId="77777777" w:rsidR="00BB6C5F" w:rsidRPr="003D3350" w:rsidRDefault="00BB6C5F" w:rsidP="00BB6C5F">
      <w:pPr>
        <w:rPr>
          <w:lang w:val="en-US"/>
        </w:rPr>
      </w:pPr>
      <w:r w:rsidRPr="003D3350">
        <w:rPr>
          <w:b/>
          <w:bCs/>
          <w:lang w:val="en-US"/>
        </w:rPr>
        <w:t>Essential</w:t>
      </w:r>
    </w:p>
    <w:p w14:paraId="423F2420" w14:textId="77777777" w:rsidR="00BB6C5F" w:rsidRPr="003D3350" w:rsidRDefault="00BB6C5F" w:rsidP="006C6685">
      <w:pPr>
        <w:numPr>
          <w:ilvl w:val="0"/>
          <w:numId w:val="4"/>
        </w:numPr>
        <w:rPr>
          <w:lang w:val="en-US"/>
        </w:rPr>
      </w:pPr>
      <w:r>
        <w:rPr>
          <w:lang w:val="en-US"/>
        </w:rPr>
        <w:t>CORESET</w:t>
      </w:r>
      <w:r w:rsidRPr="003D3350">
        <w:rPr>
          <w:lang w:val="en-US"/>
        </w:rPr>
        <w:t xml:space="preserve"> for wideband (multiple coresets with one or more per LBT </w:t>
      </w:r>
      <w:proofErr w:type="spellStart"/>
      <w:r w:rsidRPr="003D3350">
        <w:rPr>
          <w:lang w:val="en-US"/>
        </w:rPr>
        <w:t>subband</w:t>
      </w:r>
      <w:proofErr w:type="spellEnd"/>
      <w:r w:rsidRPr="003D3350">
        <w:rPr>
          <w:lang w:val="en-US"/>
        </w:rPr>
        <w:t xml:space="preserve"> or multi-cluster coreset with one cluster per </w:t>
      </w:r>
      <w:proofErr w:type="spellStart"/>
      <w:r w:rsidRPr="003D3350">
        <w:rPr>
          <w:lang w:val="en-US"/>
        </w:rPr>
        <w:t>subband</w:t>
      </w:r>
      <w:proofErr w:type="spellEnd"/>
      <w:r w:rsidRPr="003D3350">
        <w:rPr>
          <w:lang w:val="en-US"/>
        </w:rPr>
        <w:t>)</w:t>
      </w:r>
    </w:p>
    <w:p w14:paraId="0B59B772" w14:textId="77777777" w:rsidR="00BB6C5F" w:rsidRPr="003D3350" w:rsidRDefault="00BB6C5F" w:rsidP="00BB6C5F">
      <w:pPr>
        <w:rPr>
          <w:lang w:val="en-US"/>
        </w:rPr>
      </w:pPr>
      <w:r w:rsidRPr="003D3350">
        <w:rPr>
          <w:b/>
          <w:bCs/>
          <w:lang w:val="en-US"/>
        </w:rPr>
        <w:t>Optimizations</w:t>
      </w:r>
    </w:p>
    <w:p w14:paraId="0BDF3F66" w14:textId="0441E756" w:rsidR="00BB6C5F" w:rsidRPr="002B6605" w:rsidRDefault="00BB6C5F" w:rsidP="002B6605">
      <w:pPr>
        <w:numPr>
          <w:ilvl w:val="0"/>
          <w:numId w:val="5"/>
        </w:numPr>
        <w:rPr>
          <w:lang w:val="en-US"/>
        </w:rPr>
      </w:pPr>
      <w:r w:rsidRPr="003D3350">
        <w:rPr>
          <w:lang w:val="en-US"/>
        </w:rPr>
        <w:t>If PUSCH Alt 2 is also supported</w:t>
      </w:r>
      <w:r w:rsidR="00757276">
        <w:rPr>
          <w:lang w:val="en-US"/>
        </w:rPr>
        <w:t>.</w:t>
      </w:r>
    </w:p>
    <w:p w14:paraId="5968D2AA" w14:textId="50431BBB" w:rsidR="00084FCA" w:rsidRDefault="00227572" w:rsidP="003B3014">
      <w:pPr>
        <w:pStyle w:val="Heading1"/>
        <w:rPr>
          <w:lang w:val="en-US"/>
        </w:rPr>
      </w:pPr>
      <w:r>
        <w:rPr>
          <w:lang w:val="en-US"/>
        </w:rPr>
        <w:t>Intra-carrier g</w:t>
      </w:r>
      <w:r w:rsidR="00084FCA">
        <w:rPr>
          <w:lang w:val="en-US"/>
        </w:rPr>
        <w:t>uard</w:t>
      </w:r>
      <w:r>
        <w:rPr>
          <w:lang w:val="en-US"/>
        </w:rPr>
        <w:t>-</w:t>
      </w:r>
      <w:r w:rsidR="00084FCA">
        <w:rPr>
          <w:lang w:val="en-US"/>
        </w:rPr>
        <w:t>band</w:t>
      </w:r>
      <w:r w:rsidR="00135949">
        <w:rPr>
          <w:lang w:val="en-US"/>
        </w:rPr>
        <w:t>s</w:t>
      </w:r>
    </w:p>
    <w:p w14:paraId="17414588" w14:textId="2E2A95BB" w:rsidR="00722B9B" w:rsidRDefault="00722B9B" w:rsidP="001638A8">
      <w:pPr>
        <w:pStyle w:val="Heading2"/>
        <w:rPr>
          <w:lang w:val="en-US"/>
        </w:rPr>
      </w:pPr>
      <w:r w:rsidRPr="00722B9B">
        <w:rPr>
          <w:lang w:val="en-US"/>
        </w:rPr>
        <w:t xml:space="preserve">Misalignment of </w:t>
      </w:r>
      <w:r>
        <w:rPr>
          <w:lang w:val="en-US"/>
        </w:rPr>
        <w:t xml:space="preserve">RAN1 and RAN2 </w:t>
      </w:r>
      <w:r w:rsidRPr="00722B9B">
        <w:rPr>
          <w:lang w:val="en-US"/>
        </w:rPr>
        <w:t>parameter</w:t>
      </w:r>
      <w:r>
        <w:rPr>
          <w:lang w:val="en-US"/>
        </w:rPr>
        <w:t>s</w:t>
      </w:r>
      <w:r w:rsidRPr="00722B9B">
        <w:rPr>
          <w:lang w:val="en-US"/>
        </w:rPr>
        <w:t xml:space="preserve"> </w:t>
      </w:r>
    </w:p>
    <w:p w14:paraId="7104A16B" w14:textId="2368F623" w:rsidR="00191235" w:rsidRPr="001638A8" w:rsidRDefault="00722B9B" w:rsidP="00722B9B">
      <w:pPr>
        <w:rPr>
          <w:sz w:val="22"/>
          <w:szCs w:val="22"/>
          <w:lang w:val="en-US"/>
        </w:rPr>
      </w:pPr>
      <w:r w:rsidRPr="001638A8">
        <w:rPr>
          <w:sz w:val="22"/>
          <w:szCs w:val="22"/>
          <w:lang w:val="en-US"/>
        </w:rPr>
        <w:t>RAN2 us</w:t>
      </w:r>
      <w:r w:rsidR="00191235" w:rsidRPr="001638A8">
        <w:rPr>
          <w:sz w:val="22"/>
          <w:szCs w:val="22"/>
          <w:lang w:val="en-US"/>
        </w:rPr>
        <w:t>es</w:t>
      </w:r>
    </w:p>
    <w:p w14:paraId="3D9C2C43" w14:textId="77777777" w:rsidR="00191235" w:rsidRPr="001638A8" w:rsidRDefault="00191235" w:rsidP="00191235">
      <w:pPr>
        <w:spacing w:after="0"/>
        <w:rPr>
          <w:color w:val="000000"/>
          <w:sz w:val="22"/>
          <w:szCs w:val="22"/>
        </w:rPr>
      </w:pPr>
      <w:r w:rsidRPr="001638A8">
        <w:rPr>
          <w:color w:val="000000"/>
          <w:sz w:val="22"/>
          <w:szCs w:val="22"/>
        </w:rPr>
        <w:t>intraCellGuardBand</w:t>
      </w:r>
      <w:r w:rsidRPr="001638A8">
        <w:rPr>
          <w:color w:val="FF0000"/>
          <w:sz w:val="22"/>
          <w:szCs w:val="22"/>
        </w:rPr>
        <w:t>s</w:t>
      </w:r>
      <w:r w:rsidRPr="001638A8">
        <w:rPr>
          <w:color w:val="000000"/>
          <w:sz w:val="22"/>
          <w:szCs w:val="22"/>
        </w:rPr>
        <w:t>UL-r16 IntraCellGuardBands-r16 OPTIONAL, -- Need S</w:t>
      </w:r>
    </w:p>
    <w:p w14:paraId="48ED7F85" w14:textId="5309D2F1" w:rsidR="00191235" w:rsidRPr="001638A8" w:rsidRDefault="00191235" w:rsidP="00191235">
      <w:pPr>
        <w:rPr>
          <w:sz w:val="22"/>
          <w:szCs w:val="22"/>
          <w:lang w:val="en-US"/>
        </w:rPr>
      </w:pPr>
      <w:r w:rsidRPr="001638A8">
        <w:rPr>
          <w:color w:val="000000"/>
          <w:sz w:val="22"/>
          <w:szCs w:val="22"/>
        </w:rPr>
        <w:t>intraCellGuardBand</w:t>
      </w:r>
      <w:r w:rsidRPr="001638A8">
        <w:rPr>
          <w:color w:val="FF0000"/>
          <w:sz w:val="22"/>
          <w:szCs w:val="22"/>
        </w:rPr>
        <w:t>s</w:t>
      </w:r>
      <w:r w:rsidRPr="001638A8">
        <w:rPr>
          <w:color w:val="000000"/>
          <w:sz w:val="22"/>
          <w:szCs w:val="22"/>
        </w:rPr>
        <w:t>DL-r16 IntraCellGuardBands-r16 OPTIONAL, -- Need S</w:t>
      </w:r>
      <w:r w:rsidRPr="001638A8">
        <w:rPr>
          <w:color w:val="000000"/>
          <w:sz w:val="22"/>
          <w:szCs w:val="22"/>
          <w:lang w:val="en-US"/>
        </w:rPr>
        <w:t xml:space="preserve"> </w:t>
      </w:r>
    </w:p>
    <w:p w14:paraId="04B7794D" w14:textId="26EDA7C7" w:rsidR="00191235" w:rsidRPr="001638A8" w:rsidRDefault="00191235" w:rsidP="00191235">
      <w:pPr>
        <w:rPr>
          <w:sz w:val="22"/>
          <w:szCs w:val="22"/>
          <w:lang w:val="en-US"/>
        </w:rPr>
      </w:pPr>
      <w:r w:rsidRPr="001638A8">
        <w:rPr>
          <w:sz w:val="22"/>
          <w:szCs w:val="22"/>
          <w:lang w:val="en-US"/>
        </w:rPr>
        <w:t xml:space="preserve">RAN1 uses </w:t>
      </w:r>
    </w:p>
    <w:p w14:paraId="4726BC47" w14:textId="0CB764E0" w:rsidR="00191235" w:rsidRPr="001638A8" w:rsidRDefault="00191235" w:rsidP="00722B9B">
      <w:pPr>
        <w:rPr>
          <w:sz w:val="22"/>
          <w:szCs w:val="22"/>
          <w:lang w:val="en-US"/>
        </w:rPr>
      </w:pPr>
      <w:r w:rsidRPr="001638A8">
        <w:rPr>
          <w:rFonts w:eastAsia="Malgun Gothic"/>
          <w:i/>
          <w:sz w:val="22"/>
          <w:szCs w:val="22"/>
          <w:lang w:val="en-US"/>
        </w:rPr>
        <w:t xml:space="preserve">intraCellGuardBandUL-r16 </w:t>
      </w:r>
      <w:r w:rsidRPr="001638A8">
        <w:rPr>
          <w:rFonts w:eastAsia="Malgun Gothic"/>
          <w:sz w:val="22"/>
          <w:szCs w:val="22"/>
          <w:lang w:val="en-US"/>
        </w:rPr>
        <w:t xml:space="preserve">for UL carrier and </w:t>
      </w:r>
      <w:r w:rsidRPr="001638A8">
        <w:rPr>
          <w:rFonts w:eastAsia="Malgun Gothic"/>
          <w:i/>
          <w:sz w:val="22"/>
          <w:szCs w:val="22"/>
          <w:lang w:val="en-US"/>
        </w:rPr>
        <w:t xml:space="preserve">intraCellGuardBandDL-r16 </w:t>
      </w:r>
      <w:r w:rsidRPr="001638A8">
        <w:rPr>
          <w:rFonts w:eastAsia="Malgun Gothic"/>
          <w:sz w:val="22"/>
          <w:szCs w:val="22"/>
          <w:lang w:val="en-US"/>
        </w:rPr>
        <w:t>for DL carrier.</w:t>
      </w:r>
    </w:p>
    <w:p w14:paraId="01501980" w14:textId="6A166E81" w:rsidR="00722B9B" w:rsidRPr="001638A8" w:rsidRDefault="00191235" w:rsidP="00722B9B">
      <w:pPr>
        <w:rPr>
          <w:sz w:val="22"/>
          <w:szCs w:val="22"/>
          <w:lang w:val="en-US"/>
        </w:rPr>
      </w:pPr>
      <w:r w:rsidRPr="001638A8">
        <w:rPr>
          <w:sz w:val="22"/>
          <w:szCs w:val="22"/>
          <w:lang w:val="en-US"/>
        </w:rPr>
        <w:t>Therefore, we propose to align RAN1 specification to RAN2</w:t>
      </w:r>
      <w:r w:rsidR="0080014B" w:rsidRPr="001638A8">
        <w:rPr>
          <w:sz w:val="22"/>
          <w:szCs w:val="22"/>
          <w:lang w:val="en-US"/>
        </w:rPr>
        <w:t>.</w:t>
      </w:r>
    </w:p>
    <w:p w14:paraId="6D6702C6" w14:textId="66E180B3" w:rsidR="00191235" w:rsidRPr="001638A8" w:rsidRDefault="00191235" w:rsidP="00722B9B">
      <w:pPr>
        <w:rPr>
          <w:i/>
          <w:iCs/>
          <w:sz w:val="22"/>
          <w:szCs w:val="22"/>
          <w:lang w:val="en-US"/>
        </w:rPr>
      </w:pPr>
      <w:r w:rsidRPr="001638A8">
        <w:rPr>
          <w:b/>
          <w:bCs/>
          <w:sz w:val="22"/>
          <w:szCs w:val="22"/>
          <w:lang w:val="en-US"/>
        </w:rPr>
        <w:t>Proposal</w:t>
      </w:r>
      <w:r w:rsidR="001638A8" w:rsidRPr="001638A8">
        <w:rPr>
          <w:b/>
          <w:bCs/>
          <w:sz w:val="22"/>
          <w:szCs w:val="22"/>
          <w:lang w:val="en-US"/>
        </w:rPr>
        <w:t>-</w:t>
      </w:r>
      <w:r w:rsidRPr="001638A8">
        <w:rPr>
          <w:b/>
          <w:bCs/>
          <w:sz w:val="22"/>
          <w:szCs w:val="22"/>
          <w:lang w:val="en-US"/>
        </w:rPr>
        <w:t>1</w:t>
      </w:r>
      <w:r w:rsidRPr="001638A8">
        <w:rPr>
          <w:sz w:val="22"/>
          <w:szCs w:val="22"/>
          <w:lang w:val="en-US"/>
        </w:rPr>
        <w:t xml:space="preserve">: </w:t>
      </w:r>
      <w:r w:rsidRPr="001638A8">
        <w:rPr>
          <w:i/>
          <w:iCs/>
          <w:sz w:val="22"/>
          <w:szCs w:val="22"/>
          <w:lang w:val="en-US"/>
        </w:rPr>
        <w:t>Align RAN1 specification to RAN2 intraCellGuardBand</w:t>
      </w:r>
      <w:r w:rsidRPr="001638A8">
        <w:rPr>
          <w:i/>
          <w:iCs/>
          <w:color w:val="FF0000"/>
          <w:sz w:val="22"/>
          <w:szCs w:val="22"/>
          <w:lang w:val="en-US"/>
        </w:rPr>
        <w:t>s</w:t>
      </w:r>
      <w:r w:rsidRPr="001638A8">
        <w:rPr>
          <w:i/>
          <w:iCs/>
          <w:sz w:val="22"/>
          <w:szCs w:val="22"/>
          <w:lang w:val="en-US"/>
        </w:rPr>
        <w:t>DL-r16 and intraCellGuardBand</w:t>
      </w:r>
      <w:r w:rsidRPr="001638A8">
        <w:rPr>
          <w:i/>
          <w:iCs/>
          <w:color w:val="FF0000"/>
          <w:sz w:val="22"/>
          <w:szCs w:val="22"/>
          <w:lang w:val="en-US"/>
        </w:rPr>
        <w:t>s</w:t>
      </w:r>
      <w:r w:rsidRPr="001638A8">
        <w:rPr>
          <w:i/>
          <w:iCs/>
          <w:sz w:val="22"/>
          <w:szCs w:val="22"/>
          <w:lang w:val="en-US"/>
        </w:rPr>
        <w:t>DL-r16</w:t>
      </w:r>
      <w:r w:rsidR="00015759" w:rsidRPr="001638A8">
        <w:rPr>
          <w:i/>
          <w:iCs/>
          <w:sz w:val="22"/>
          <w:szCs w:val="22"/>
          <w:lang w:val="en-US"/>
        </w:rPr>
        <w:t xml:space="preserve"> naming</w:t>
      </w:r>
    </w:p>
    <w:p w14:paraId="5C06A9C4" w14:textId="5A3697BF" w:rsidR="003B3014" w:rsidRDefault="00722B9B" w:rsidP="001638A8">
      <w:pPr>
        <w:pStyle w:val="Heading2"/>
        <w:rPr>
          <w:lang w:val="en-US"/>
        </w:rPr>
      </w:pPr>
      <w:r>
        <w:rPr>
          <w:lang w:val="en-US"/>
        </w:rPr>
        <w:t>Scheduling of GBs</w:t>
      </w:r>
    </w:p>
    <w:p w14:paraId="7BF2AF7D" w14:textId="2C639B7D" w:rsidR="007A2558" w:rsidRDefault="00191235" w:rsidP="00BB6C5F">
      <w:pPr>
        <w:rPr>
          <w:lang w:val="en-US"/>
        </w:rPr>
      </w:pPr>
      <w:r>
        <w:rPr>
          <w:lang w:val="en-US"/>
        </w:rPr>
        <w:t>Wideband mode capabili</w:t>
      </w:r>
      <w:r w:rsidR="007A2558">
        <w:rPr>
          <w:lang w:val="en-US"/>
        </w:rPr>
        <w:t>ties</w:t>
      </w:r>
      <w:r>
        <w:rPr>
          <w:lang w:val="en-US"/>
        </w:rPr>
        <w:t xml:space="preserve"> </w:t>
      </w:r>
      <w:proofErr w:type="gramStart"/>
      <w:r>
        <w:rPr>
          <w:lang w:val="en-US"/>
        </w:rPr>
        <w:t>has</w:t>
      </w:r>
      <w:proofErr w:type="gramEnd"/>
      <w:r>
        <w:rPr>
          <w:lang w:val="en-US"/>
        </w:rPr>
        <w:t xml:space="preserve"> been left to RAN4</w:t>
      </w:r>
      <w:r w:rsidR="007A2558">
        <w:rPr>
          <w:lang w:val="en-US"/>
        </w:rPr>
        <w:t xml:space="preserve"> and LS with questions to RAN4 has been sent. Nevertheless,</w:t>
      </w:r>
      <w:r>
        <w:rPr>
          <w:lang w:val="en-US"/>
        </w:rPr>
        <w:t xml:space="preserve"> in previous 3GPP meeting RAN4 </w:t>
      </w:r>
      <w:r w:rsidR="007A2558">
        <w:rPr>
          <w:lang w:val="en-US"/>
        </w:rPr>
        <w:t xml:space="preserve">agreed to introduce capabilities for scheduling GBs in both DL and UL. It appears strange that RAN4 agrees on support of </w:t>
      </w:r>
      <w:r w:rsidR="001638A8">
        <w:rPr>
          <w:lang w:val="en-US"/>
        </w:rPr>
        <w:t xml:space="preserve">only </w:t>
      </w:r>
      <w:r w:rsidR="007A2558">
        <w:rPr>
          <w:lang w:val="en-US"/>
        </w:rPr>
        <w:t>contiguous transmission</w:t>
      </w:r>
      <w:r w:rsidR="001638A8">
        <w:rPr>
          <w:lang w:val="en-US"/>
        </w:rPr>
        <w:t xml:space="preserve"> in UL</w:t>
      </w:r>
      <w:r w:rsidR="007A2558">
        <w:rPr>
          <w:lang w:val="en-US"/>
        </w:rPr>
        <w:t xml:space="preserve"> and then introduces capability for scheduling intra-cell GBs. However, there may be an explanation, RAN4 </w:t>
      </w:r>
      <w:r w:rsidR="00FD26B6">
        <w:rPr>
          <w:lang w:val="en-US"/>
        </w:rPr>
        <w:t>may</w:t>
      </w:r>
      <w:r w:rsidR="007A2558">
        <w:rPr>
          <w:lang w:val="en-US"/>
        </w:rPr>
        <w:t xml:space="preserve"> not consider GB gap between two </w:t>
      </w:r>
      <w:r w:rsidR="00FD26B6">
        <w:rPr>
          <w:lang w:val="en-US"/>
        </w:rPr>
        <w:t xml:space="preserve">scheduled </w:t>
      </w:r>
      <w:r w:rsidR="007A2558">
        <w:rPr>
          <w:lang w:val="en-US"/>
        </w:rPr>
        <w:t xml:space="preserve">contiguous sub-bands as discontinuous transmission. RAN1 may be informed about </w:t>
      </w:r>
      <w:r w:rsidR="00FD26B6">
        <w:rPr>
          <w:lang w:val="en-US"/>
        </w:rPr>
        <w:t>this RAN4 understanding</w:t>
      </w:r>
      <w:r w:rsidR="007A2558">
        <w:rPr>
          <w:lang w:val="en-US"/>
        </w:rPr>
        <w:t xml:space="preserve"> in their LS reply. Nevertheless, the capabilities </w:t>
      </w:r>
      <w:r w:rsidR="00FD26B6">
        <w:rPr>
          <w:lang w:val="en-US"/>
        </w:rPr>
        <w:t>that are planned to be introduced are:</w:t>
      </w:r>
    </w:p>
    <w:p w14:paraId="6385AD42" w14:textId="77777777" w:rsidR="007A2558" w:rsidRDefault="007A2558" w:rsidP="00BB6C5F">
      <w:pPr>
        <w:rPr>
          <w:lang w:val="en-US"/>
        </w:rPr>
      </w:pPr>
      <w:r>
        <w:rPr>
          <w:lang w:val="en-US"/>
        </w:rPr>
        <w:t xml:space="preserve"> </w:t>
      </w:r>
    </w:p>
    <w:tbl>
      <w:tblPr>
        <w:tblW w:w="5000" w:type="pct"/>
        <w:tblCellMar>
          <w:left w:w="0" w:type="dxa"/>
          <w:right w:w="0" w:type="dxa"/>
        </w:tblCellMar>
        <w:tblLook w:val="04A0" w:firstRow="1" w:lastRow="0" w:firstColumn="1" w:lastColumn="0" w:noHBand="0" w:noVBand="1"/>
      </w:tblPr>
      <w:tblGrid>
        <w:gridCol w:w="1077"/>
        <w:gridCol w:w="427"/>
        <w:gridCol w:w="1287"/>
        <w:gridCol w:w="1227"/>
        <w:gridCol w:w="858"/>
        <w:gridCol w:w="497"/>
        <w:gridCol w:w="417"/>
        <w:gridCol w:w="1127"/>
        <w:gridCol w:w="477"/>
        <w:gridCol w:w="447"/>
        <w:gridCol w:w="447"/>
        <w:gridCol w:w="222"/>
        <w:gridCol w:w="222"/>
        <w:gridCol w:w="887"/>
      </w:tblGrid>
      <w:tr w:rsidR="007A2558" w14:paraId="2362F2E5" w14:textId="77777777" w:rsidTr="007A2558">
        <w:trPr>
          <w:trHeight w:val="20"/>
        </w:trPr>
        <w:tc>
          <w:tcPr>
            <w:tcW w:w="25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54B0AB" w14:textId="77777777" w:rsidR="007A2558" w:rsidRDefault="007A2558">
            <w:pPr>
              <w:pStyle w:val="TAL"/>
              <w:rPr>
                <w:lang w:eastAsia="ja-JP"/>
              </w:rPr>
            </w:pPr>
            <w:r>
              <w:rPr>
                <w:lang w:eastAsia="ja-JP"/>
              </w:rPr>
              <w:lastRenderedPageBreak/>
              <w:t>4. NR-based access to unlicensed spectrum</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A54FB" w14:textId="77777777" w:rsidR="007A2558" w:rsidRDefault="007A2558">
            <w:pPr>
              <w:pStyle w:val="TAL"/>
              <w:rPr>
                <w:lang w:eastAsia="ja-JP"/>
              </w:rPr>
            </w:pPr>
            <w:r>
              <w:rPr>
                <w:lang w:eastAsia="ja-JP"/>
              </w:rPr>
              <w:t>[4-1]</w:t>
            </w: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AF840" w14:textId="77777777" w:rsidR="007A2558" w:rsidRDefault="007A2558">
            <w:pPr>
              <w:pStyle w:val="TAL"/>
              <w:rPr>
                <w:lang w:eastAsia="ja-JP"/>
              </w:rPr>
            </w:pPr>
            <w:r>
              <w:rPr>
                <w:lang w:eastAsia="ja-JP"/>
              </w:rPr>
              <w:t xml:space="preserve">Transmission in intra-carrier </w:t>
            </w:r>
            <w:proofErr w:type="spellStart"/>
            <w:r>
              <w:rPr>
                <w:lang w:eastAsia="ja-JP"/>
              </w:rPr>
              <w:t>guardband</w:t>
            </w:r>
            <w:proofErr w:type="spellEnd"/>
          </w:p>
        </w:tc>
        <w:tc>
          <w:tcPr>
            <w:tcW w:w="9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28BA2" w14:textId="77777777" w:rsidR="007A2558" w:rsidRDefault="007A2558">
            <w:pPr>
              <w:snapToGrid w:val="0"/>
              <w:spacing w:afterLines="50" w:after="120"/>
              <w:contextualSpacing/>
              <w:jc w:val="both"/>
              <w:rPr>
                <w:rFonts w:ascii="Arial" w:hAnsi="Arial" w:cs="Arial"/>
                <w:sz w:val="18"/>
                <w:szCs w:val="18"/>
                <w:lang w:eastAsia="ja-JP"/>
              </w:rPr>
            </w:pPr>
            <w:r>
              <w:rPr>
                <w:rFonts w:ascii="Arial" w:hAnsi="Arial" w:cs="Arial"/>
                <w:sz w:val="18"/>
                <w:szCs w:val="18"/>
              </w:rPr>
              <w:t xml:space="preserve">Capability of transmission in the intra-band carrier </w:t>
            </w:r>
            <w:proofErr w:type="spellStart"/>
            <w:r>
              <w:rPr>
                <w:rFonts w:ascii="Arial" w:hAnsi="Arial" w:cs="Arial"/>
                <w:sz w:val="18"/>
                <w:szCs w:val="18"/>
              </w:rPr>
              <w:t>guardband</w:t>
            </w:r>
            <w:proofErr w:type="spellEnd"/>
            <w:r>
              <w:rPr>
                <w:rFonts w:ascii="Arial" w:hAnsi="Arial" w:cs="Arial"/>
                <w:sz w:val="18"/>
                <w:szCs w:val="18"/>
              </w:rPr>
              <w:t xml:space="preserve"> if the UE is scheduled a contiguous allocation that is wider than a 20MHz </w:t>
            </w:r>
            <w:proofErr w:type="spellStart"/>
            <w:r>
              <w:rPr>
                <w:rFonts w:ascii="Arial" w:hAnsi="Arial" w:cs="Arial"/>
                <w:sz w:val="18"/>
                <w:szCs w:val="18"/>
              </w:rPr>
              <w:t>subband</w:t>
            </w:r>
            <w:proofErr w:type="spellEnd"/>
            <w:r>
              <w:rPr>
                <w:rFonts w:ascii="Arial" w:hAnsi="Arial" w:cs="Arial"/>
                <w:sz w:val="18"/>
                <w:szCs w:val="18"/>
              </w:rPr>
              <w:t xml:space="preserve">. </w:t>
            </w:r>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3C4A1" w14:textId="77777777" w:rsidR="007A2558" w:rsidRDefault="007A2558">
            <w:pPr>
              <w:pStyle w:val="TAL"/>
              <w:rPr>
                <w:rFonts w:cs="Arial"/>
                <w:szCs w:val="18"/>
                <w:lang w:eastAsia="ja-JP"/>
              </w:rPr>
            </w:pPr>
            <w:r>
              <w:rPr>
                <w:lang w:eastAsia="ja-JP"/>
              </w:rPr>
              <w:t>None</w:t>
            </w:r>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B3B38" w14:textId="77777777" w:rsidR="007A2558" w:rsidRDefault="007A2558">
            <w:pPr>
              <w:pStyle w:val="TAL"/>
              <w:rPr>
                <w:sz w:val="20"/>
                <w:lang w:eastAsia="ja-JP"/>
              </w:rPr>
            </w:pPr>
            <w:r>
              <w:rPr>
                <w:lang w:eastAsia="ja-JP"/>
              </w:rPr>
              <w:t>yes</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B8805" w14:textId="77777777" w:rsidR="007A2558" w:rsidRDefault="007A2558">
            <w:pPr>
              <w:pStyle w:val="TAL"/>
              <w:rPr>
                <w:lang w:eastAsia="ja-JP"/>
              </w:rPr>
            </w:pPr>
            <w:r>
              <w:rPr>
                <w:lang w:eastAsia="ja-JP"/>
              </w:rPr>
              <w:t>no</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DF5E5" w14:textId="77777777" w:rsidR="007A2558" w:rsidRPr="007A2558" w:rsidRDefault="007A2558">
            <w:pPr>
              <w:pStyle w:val="TAL"/>
              <w:rPr>
                <w:lang w:val="en-US" w:eastAsia="ja-JP"/>
              </w:rPr>
            </w:pPr>
            <w:r>
              <w:rPr>
                <w:lang w:eastAsia="ja-JP"/>
              </w:rPr>
              <w:t xml:space="preserve">UE cannot transmit in the </w:t>
            </w:r>
            <w:proofErr w:type="spellStart"/>
            <w:r>
              <w:rPr>
                <w:lang w:eastAsia="ja-JP"/>
              </w:rPr>
              <w:t>guardband</w:t>
            </w:r>
            <w:proofErr w:type="spellEnd"/>
            <w:r>
              <w:rPr>
                <w:lang w:eastAsia="ja-JP"/>
              </w:rPr>
              <w:t xml:space="preserve">, it could only transmit in the </w:t>
            </w:r>
            <w:proofErr w:type="spellStart"/>
            <w:r>
              <w:rPr>
                <w:lang w:eastAsia="ja-JP"/>
              </w:rPr>
              <w:t>subbands</w:t>
            </w:r>
            <w:proofErr w:type="spellEnd"/>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9F1B78" w14:textId="77777777" w:rsidR="007A2558" w:rsidRDefault="007A2558">
            <w:pPr>
              <w:pStyle w:val="TAL"/>
              <w:rPr>
                <w:lang w:eastAsia="ja-JP"/>
              </w:rPr>
            </w:pPr>
            <w:r>
              <w:rPr>
                <w:lang w:eastAsia="ja-JP"/>
              </w:rPr>
              <w:t>per UE</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DBD29" w14:textId="77777777" w:rsidR="007A2558" w:rsidRDefault="007A2558">
            <w:pPr>
              <w:pStyle w:val="TAL"/>
              <w:rPr>
                <w:lang w:eastAsia="ja-JP"/>
              </w:rPr>
            </w:pPr>
            <w:r>
              <w:rPr>
                <w:lang w:eastAsia="ja-JP"/>
              </w:rPr>
              <w:t>No</w:t>
            </w:r>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E9D52" w14:textId="77777777" w:rsidR="007A2558" w:rsidRDefault="007A2558">
            <w:pPr>
              <w:pStyle w:val="TAL"/>
              <w:rPr>
                <w:lang w:eastAsia="ja-JP"/>
              </w:rPr>
            </w:pPr>
            <w:r>
              <w:rPr>
                <w:lang w:eastAsia="ja-JP"/>
              </w:rPr>
              <w:t>No</w:t>
            </w:r>
          </w:p>
        </w:tc>
        <w:tc>
          <w:tcPr>
            <w:tcW w:w="4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61AF2" w14:textId="77777777" w:rsidR="007A2558" w:rsidRDefault="007A2558">
            <w:pPr>
              <w:pStyle w:val="TAL"/>
              <w:rPr>
                <w:lang w:eastAsia="fi-FI"/>
              </w:rPr>
            </w:pPr>
          </w:p>
        </w:tc>
        <w:tc>
          <w:tcPr>
            <w:tcW w:w="4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48CAF" w14:textId="77777777" w:rsidR="007A2558" w:rsidRDefault="007A2558">
            <w:pPr>
              <w:pStyle w:val="TAL"/>
            </w:pP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5D616" w14:textId="77777777" w:rsidR="007A2558" w:rsidRDefault="007A2558">
            <w:pPr>
              <w:pStyle w:val="TAL"/>
              <w:rPr>
                <w:lang w:eastAsia="ja-JP"/>
              </w:rPr>
            </w:pPr>
            <w:r>
              <w:rPr>
                <w:lang w:eastAsia="ja-JP"/>
              </w:rPr>
              <w:t>Optional</w:t>
            </w:r>
          </w:p>
        </w:tc>
      </w:tr>
      <w:tr w:rsidR="007A2558" w14:paraId="296282B8" w14:textId="77777777" w:rsidTr="007A2558">
        <w:trPr>
          <w:trHeight w:val="20"/>
        </w:trPr>
        <w:tc>
          <w:tcPr>
            <w:tcW w:w="252" w:type="pct"/>
            <w:vMerge/>
            <w:tcBorders>
              <w:top w:val="single" w:sz="8" w:space="0" w:color="auto"/>
              <w:left w:val="single" w:sz="8" w:space="0" w:color="auto"/>
              <w:bottom w:val="single" w:sz="8" w:space="0" w:color="auto"/>
              <w:right w:val="single" w:sz="8" w:space="0" w:color="auto"/>
            </w:tcBorders>
            <w:vAlign w:val="center"/>
            <w:hideMark/>
          </w:tcPr>
          <w:p w14:paraId="260CFA0F" w14:textId="77777777" w:rsidR="007A2558" w:rsidRDefault="007A2558">
            <w:pPr>
              <w:rPr>
                <w:rFonts w:ascii="Arial" w:eastAsia="Times New Roman" w:hAnsi="Arial" w:cs="Arial"/>
                <w:lang w:eastAsia="ja-JP"/>
              </w:rPr>
            </w:pP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14:paraId="5AE1D422" w14:textId="77777777" w:rsidR="007A2558" w:rsidRDefault="007A2558">
            <w:pPr>
              <w:pStyle w:val="TAL"/>
              <w:rPr>
                <w:lang w:eastAsia="ja-JP"/>
              </w:rPr>
            </w:pPr>
            <w:r>
              <w:rPr>
                <w:lang w:eastAsia="ja-JP"/>
              </w:rPr>
              <w:t>[4-2]</w:t>
            </w:r>
          </w:p>
        </w:tc>
        <w:tc>
          <w:tcPr>
            <w:tcW w:w="348" w:type="pct"/>
            <w:tcBorders>
              <w:top w:val="nil"/>
              <w:left w:val="nil"/>
              <w:bottom w:val="single" w:sz="8" w:space="0" w:color="auto"/>
              <w:right w:val="single" w:sz="8" w:space="0" w:color="auto"/>
            </w:tcBorders>
            <w:tcMar>
              <w:top w:w="0" w:type="dxa"/>
              <w:left w:w="108" w:type="dxa"/>
              <w:bottom w:w="0" w:type="dxa"/>
              <w:right w:w="108" w:type="dxa"/>
            </w:tcMar>
            <w:hideMark/>
          </w:tcPr>
          <w:p w14:paraId="24940F85" w14:textId="77777777" w:rsidR="007A2558" w:rsidRDefault="007A2558">
            <w:pPr>
              <w:pStyle w:val="TAL"/>
              <w:rPr>
                <w:lang w:eastAsia="ja-JP"/>
              </w:rPr>
            </w:pPr>
            <w:r>
              <w:rPr>
                <w:lang w:eastAsia="ja-JP"/>
              </w:rPr>
              <w:t xml:space="preserve">Reception in intra-carrier </w:t>
            </w:r>
            <w:proofErr w:type="spellStart"/>
            <w:r>
              <w:rPr>
                <w:lang w:eastAsia="ja-JP"/>
              </w:rPr>
              <w:t>guardband</w:t>
            </w:r>
            <w:proofErr w:type="spellEnd"/>
          </w:p>
        </w:tc>
        <w:tc>
          <w:tcPr>
            <w:tcW w:w="916" w:type="pct"/>
            <w:tcBorders>
              <w:top w:val="nil"/>
              <w:left w:val="nil"/>
              <w:bottom w:val="single" w:sz="8" w:space="0" w:color="auto"/>
              <w:right w:val="single" w:sz="8" w:space="0" w:color="auto"/>
            </w:tcBorders>
            <w:tcMar>
              <w:top w:w="0" w:type="dxa"/>
              <w:left w:w="108" w:type="dxa"/>
              <w:bottom w:w="0" w:type="dxa"/>
              <w:right w:w="108" w:type="dxa"/>
            </w:tcMar>
            <w:hideMark/>
          </w:tcPr>
          <w:p w14:paraId="5F241BC2" w14:textId="77777777" w:rsidR="007A2558" w:rsidRDefault="007A2558">
            <w:pPr>
              <w:snapToGrid w:val="0"/>
              <w:spacing w:afterLines="50" w:after="120"/>
              <w:contextualSpacing/>
              <w:jc w:val="both"/>
              <w:rPr>
                <w:rFonts w:ascii="Arial" w:hAnsi="Arial" w:cs="Arial"/>
                <w:sz w:val="18"/>
                <w:szCs w:val="18"/>
                <w:lang w:eastAsia="ja-JP"/>
              </w:rPr>
            </w:pPr>
            <w:r>
              <w:rPr>
                <w:rFonts w:ascii="Arial" w:hAnsi="Arial" w:cs="Arial"/>
                <w:sz w:val="18"/>
                <w:szCs w:val="18"/>
              </w:rPr>
              <w:t xml:space="preserve">Capability of reception in the intra-band carrier </w:t>
            </w:r>
            <w:proofErr w:type="spellStart"/>
            <w:r>
              <w:rPr>
                <w:rFonts w:ascii="Arial" w:hAnsi="Arial" w:cs="Arial"/>
                <w:sz w:val="18"/>
                <w:szCs w:val="18"/>
              </w:rPr>
              <w:t>guardband</w:t>
            </w:r>
            <w:proofErr w:type="spellEnd"/>
            <w:r>
              <w:rPr>
                <w:rFonts w:ascii="Arial" w:hAnsi="Arial" w:cs="Arial"/>
                <w:sz w:val="18"/>
                <w:szCs w:val="18"/>
              </w:rPr>
              <w:t xml:space="preserve"> if the UE is scheduled a contiguous allocation that is wider than a 20MHz </w:t>
            </w:r>
            <w:proofErr w:type="spellStart"/>
            <w:r>
              <w:rPr>
                <w:rFonts w:ascii="Arial" w:hAnsi="Arial" w:cs="Arial"/>
                <w:sz w:val="18"/>
                <w:szCs w:val="18"/>
              </w:rPr>
              <w:t>subband</w:t>
            </w:r>
            <w:proofErr w:type="spellEnd"/>
            <w:r>
              <w:rPr>
                <w:rFonts w:ascii="Arial" w:hAnsi="Arial" w:cs="Arial"/>
                <w:sz w:val="18"/>
                <w:szCs w:val="18"/>
              </w:rPr>
              <w:t xml:space="preserve">. </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14:paraId="0749D565" w14:textId="77777777" w:rsidR="007A2558" w:rsidRDefault="007A2558">
            <w:pPr>
              <w:pStyle w:val="TAL"/>
              <w:rPr>
                <w:rFonts w:cs="Arial"/>
                <w:szCs w:val="18"/>
                <w:lang w:eastAsia="ja-JP"/>
              </w:rPr>
            </w:pPr>
            <w:r>
              <w:rPr>
                <w:lang w:eastAsia="ja-JP"/>
              </w:rPr>
              <w:t>None</w:t>
            </w:r>
          </w:p>
        </w:tc>
        <w:tc>
          <w:tcPr>
            <w:tcW w:w="192" w:type="pct"/>
            <w:tcBorders>
              <w:top w:val="nil"/>
              <w:left w:val="nil"/>
              <w:bottom w:val="single" w:sz="8" w:space="0" w:color="auto"/>
              <w:right w:val="single" w:sz="8" w:space="0" w:color="auto"/>
            </w:tcBorders>
            <w:tcMar>
              <w:top w:w="0" w:type="dxa"/>
              <w:left w:w="108" w:type="dxa"/>
              <w:bottom w:w="0" w:type="dxa"/>
              <w:right w:w="108" w:type="dxa"/>
            </w:tcMar>
            <w:hideMark/>
          </w:tcPr>
          <w:p w14:paraId="368C3718" w14:textId="77777777" w:rsidR="007A2558" w:rsidRDefault="007A2558">
            <w:pPr>
              <w:pStyle w:val="TAL"/>
              <w:rPr>
                <w:sz w:val="20"/>
                <w:lang w:eastAsia="ja-JP"/>
              </w:rPr>
            </w:pPr>
            <w:r>
              <w:rPr>
                <w:lang w:eastAsia="ja-JP"/>
              </w:rPr>
              <w:t>yes</w:t>
            </w:r>
          </w:p>
        </w:tc>
        <w:tc>
          <w:tcPr>
            <w:tcW w:w="190" w:type="pct"/>
            <w:tcBorders>
              <w:top w:val="nil"/>
              <w:left w:val="nil"/>
              <w:bottom w:val="single" w:sz="8" w:space="0" w:color="auto"/>
              <w:right w:val="single" w:sz="8" w:space="0" w:color="auto"/>
            </w:tcBorders>
            <w:tcMar>
              <w:top w:w="0" w:type="dxa"/>
              <w:left w:w="108" w:type="dxa"/>
              <w:bottom w:w="0" w:type="dxa"/>
              <w:right w:w="108" w:type="dxa"/>
            </w:tcMar>
            <w:hideMark/>
          </w:tcPr>
          <w:p w14:paraId="3C2A5E6C" w14:textId="77777777" w:rsidR="007A2558" w:rsidRDefault="007A2558">
            <w:pPr>
              <w:pStyle w:val="TAL"/>
              <w:rPr>
                <w:lang w:eastAsia="ja-JP"/>
              </w:rPr>
            </w:pPr>
            <w:r>
              <w:rPr>
                <w:lang w:eastAsia="ja-JP"/>
              </w:rPr>
              <w:t>no</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14:paraId="407532BF" w14:textId="77777777" w:rsidR="007A2558" w:rsidRPr="007A2558" w:rsidRDefault="007A2558">
            <w:pPr>
              <w:pStyle w:val="TAL"/>
              <w:rPr>
                <w:lang w:val="en-US" w:eastAsia="ja-JP"/>
              </w:rPr>
            </w:pPr>
            <w:r>
              <w:rPr>
                <w:lang w:eastAsia="ja-JP"/>
              </w:rPr>
              <w:t xml:space="preserve">UE cannot receive in the </w:t>
            </w:r>
            <w:proofErr w:type="spellStart"/>
            <w:r>
              <w:rPr>
                <w:lang w:eastAsia="ja-JP"/>
              </w:rPr>
              <w:t>guardband</w:t>
            </w:r>
            <w:proofErr w:type="spellEnd"/>
            <w:r>
              <w:rPr>
                <w:lang w:eastAsia="ja-JP"/>
              </w:rPr>
              <w:t xml:space="preserve">, it could only receive in the </w:t>
            </w:r>
            <w:proofErr w:type="spellStart"/>
            <w:r>
              <w:rPr>
                <w:lang w:eastAsia="ja-JP"/>
              </w:rPr>
              <w:t>subbands</w:t>
            </w:r>
            <w:proofErr w:type="spellEnd"/>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6B28973C" w14:textId="77777777" w:rsidR="007A2558" w:rsidRDefault="007A2558">
            <w:pPr>
              <w:pStyle w:val="TAL"/>
              <w:rPr>
                <w:lang w:eastAsia="ja-JP"/>
              </w:rPr>
            </w:pPr>
            <w:r>
              <w:rPr>
                <w:lang w:eastAsia="ja-JP"/>
              </w:rPr>
              <w:t>per UE</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0F3ECE70" w14:textId="77777777" w:rsidR="007A2558" w:rsidRDefault="007A2558">
            <w:pPr>
              <w:pStyle w:val="TAL"/>
              <w:rPr>
                <w:lang w:eastAsia="ja-JP"/>
              </w:rPr>
            </w:pPr>
            <w:r>
              <w:rPr>
                <w:lang w:eastAsia="ja-JP"/>
              </w:rPr>
              <w:t>No</w:t>
            </w:r>
          </w:p>
        </w:tc>
        <w:tc>
          <w:tcPr>
            <w:tcW w:w="222" w:type="pct"/>
            <w:tcBorders>
              <w:top w:val="nil"/>
              <w:left w:val="nil"/>
              <w:bottom w:val="single" w:sz="8" w:space="0" w:color="auto"/>
              <w:right w:val="single" w:sz="8" w:space="0" w:color="auto"/>
            </w:tcBorders>
            <w:tcMar>
              <w:top w:w="0" w:type="dxa"/>
              <w:left w:w="108" w:type="dxa"/>
              <w:bottom w:w="0" w:type="dxa"/>
              <w:right w:w="108" w:type="dxa"/>
            </w:tcMar>
            <w:hideMark/>
          </w:tcPr>
          <w:p w14:paraId="7782590E" w14:textId="77777777" w:rsidR="007A2558" w:rsidRDefault="007A2558">
            <w:pPr>
              <w:pStyle w:val="TAL"/>
              <w:rPr>
                <w:lang w:eastAsia="ja-JP"/>
              </w:rPr>
            </w:pPr>
            <w:r>
              <w:rPr>
                <w:lang w:eastAsia="ja-JP"/>
              </w:rPr>
              <w:t>No</w:t>
            </w:r>
          </w:p>
        </w:tc>
        <w:tc>
          <w:tcPr>
            <w:tcW w:w="411" w:type="pct"/>
            <w:tcBorders>
              <w:top w:val="nil"/>
              <w:left w:val="nil"/>
              <w:bottom w:val="single" w:sz="8" w:space="0" w:color="auto"/>
              <w:right w:val="single" w:sz="8" w:space="0" w:color="auto"/>
            </w:tcBorders>
            <w:tcMar>
              <w:top w:w="0" w:type="dxa"/>
              <w:left w:w="108" w:type="dxa"/>
              <w:bottom w:w="0" w:type="dxa"/>
              <w:right w:w="108" w:type="dxa"/>
            </w:tcMar>
          </w:tcPr>
          <w:p w14:paraId="5E9F5B08" w14:textId="77777777" w:rsidR="007A2558" w:rsidRDefault="007A2558">
            <w:pPr>
              <w:pStyle w:val="TAL"/>
              <w:rPr>
                <w:lang w:eastAsia="fi-FI"/>
              </w:rPr>
            </w:pPr>
          </w:p>
        </w:tc>
        <w:tc>
          <w:tcPr>
            <w:tcW w:w="411" w:type="pct"/>
            <w:tcBorders>
              <w:top w:val="nil"/>
              <w:left w:val="nil"/>
              <w:bottom w:val="single" w:sz="8" w:space="0" w:color="auto"/>
              <w:right w:val="single" w:sz="8" w:space="0" w:color="auto"/>
            </w:tcBorders>
            <w:tcMar>
              <w:top w:w="0" w:type="dxa"/>
              <w:left w:w="108" w:type="dxa"/>
              <w:bottom w:w="0" w:type="dxa"/>
              <w:right w:w="108" w:type="dxa"/>
            </w:tcMar>
          </w:tcPr>
          <w:p w14:paraId="22741FF2" w14:textId="77777777" w:rsidR="007A2558" w:rsidRDefault="007A2558">
            <w:pPr>
              <w:pStyle w:val="TAL"/>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5BFA38D1" w14:textId="77777777" w:rsidR="007A2558" w:rsidRDefault="007A2558">
            <w:pPr>
              <w:pStyle w:val="TAL"/>
              <w:rPr>
                <w:lang w:eastAsia="ja-JP"/>
              </w:rPr>
            </w:pPr>
            <w:r>
              <w:rPr>
                <w:lang w:eastAsia="ja-JP"/>
              </w:rPr>
              <w:t>Optional</w:t>
            </w:r>
          </w:p>
        </w:tc>
      </w:tr>
    </w:tbl>
    <w:p w14:paraId="2693398A" w14:textId="0891FC38" w:rsidR="007A2558" w:rsidRDefault="007A2558" w:rsidP="00BB6C5F">
      <w:pPr>
        <w:rPr>
          <w:lang w:val="en-US"/>
        </w:rPr>
      </w:pPr>
    </w:p>
    <w:p w14:paraId="336EE5F3" w14:textId="77777777" w:rsidR="001638A8" w:rsidRDefault="007A2558" w:rsidP="001638A8">
      <w:pPr>
        <w:rPr>
          <w:b/>
          <w:bCs/>
          <w:lang w:val="en-US"/>
        </w:rPr>
      </w:pPr>
      <w:r w:rsidRPr="00424118">
        <w:rPr>
          <w:b/>
          <w:bCs/>
          <w:lang w:val="en-US"/>
        </w:rPr>
        <w:t xml:space="preserve"> </w:t>
      </w:r>
    </w:p>
    <w:p w14:paraId="2A392AA1" w14:textId="19963B55" w:rsidR="00135949" w:rsidRPr="001638A8" w:rsidRDefault="007A2558" w:rsidP="001638A8">
      <w:pPr>
        <w:rPr>
          <w:i/>
          <w:iCs/>
          <w:sz w:val="22"/>
          <w:szCs w:val="22"/>
          <w:lang w:val="en-US"/>
        </w:rPr>
      </w:pPr>
      <w:r w:rsidRPr="001638A8">
        <w:rPr>
          <w:b/>
          <w:bCs/>
          <w:sz w:val="22"/>
          <w:szCs w:val="22"/>
          <w:lang w:val="en-US"/>
        </w:rPr>
        <w:t>Observation</w:t>
      </w:r>
      <w:r w:rsidR="001638A8" w:rsidRPr="001638A8">
        <w:rPr>
          <w:b/>
          <w:bCs/>
          <w:sz w:val="22"/>
          <w:szCs w:val="22"/>
          <w:lang w:val="en-US"/>
        </w:rPr>
        <w:t>-1</w:t>
      </w:r>
      <w:r w:rsidRPr="001638A8">
        <w:rPr>
          <w:b/>
          <w:bCs/>
          <w:sz w:val="22"/>
          <w:szCs w:val="22"/>
          <w:lang w:val="en-US"/>
        </w:rPr>
        <w:t>:</w:t>
      </w:r>
      <w:r w:rsidRPr="001638A8">
        <w:rPr>
          <w:sz w:val="22"/>
          <w:szCs w:val="22"/>
          <w:lang w:val="en-US"/>
        </w:rPr>
        <w:t xml:space="preserve"> </w:t>
      </w:r>
      <w:r w:rsidRPr="001638A8">
        <w:rPr>
          <w:i/>
          <w:iCs/>
          <w:sz w:val="22"/>
          <w:szCs w:val="22"/>
          <w:lang w:val="en-US"/>
        </w:rPr>
        <w:t xml:space="preserve">RAN4 </w:t>
      </w:r>
      <w:r w:rsidR="00424118" w:rsidRPr="001638A8">
        <w:rPr>
          <w:i/>
          <w:iCs/>
          <w:sz w:val="22"/>
          <w:szCs w:val="22"/>
          <w:lang w:val="en-US"/>
        </w:rPr>
        <w:t xml:space="preserve">plans to introduce optional </w:t>
      </w:r>
      <w:r w:rsidRPr="001638A8">
        <w:rPr>
          <w:i/>
          <w:iCs/>
          <w:sz w:val="22"/>
          <w:szCs w:val="22"/>
          <w:lang w:val="en-US"/>
        </w:rPr>
        <w:t>capabilit</w:t>
      </w:r>
      <w:r w:rsidR="00424118" w:rsidRPr="001638A8">
        <w:rPr>
          <w:i/>
          <w:iCs/>
          <w:sz w:val="22"/>
          <w:szCs w:val="22"/>
          <w:lang w:val="en-US"/>
        </w:rPr>
        <w:t>y</w:t>
      </w:r>
      <w:r w:rsidRPr="001638A8">
        <w:rPr>
          <w:i/>
          <w:iCs/>
          <w:sz w:val="22"/>
          <w:szCs w:val="22"/>
          <w:lang w:val="en-US"/>
        </w:rPr>
        <w:t xml:space="preserve"> </w:t>
      </w:r>
      <w:r w:rsidR="00424118" w:rsidRPr="001638A8">
        <w:rPr>
          <w:i/>
          <w:iCs/>
          <w:sz w:val="22"/>
          <w:szCs w:val="22"/>
          <w:lang w:val="en-US"/>
        </w:rPr>
        <w:t xml:space="preserve">for scheduling of </w:t>
      </w:r>
      <w:r w:rsidR="001638A8" w:rsidRPr="001638A8">
        <w:rPr>
          <w:i/>
          <w:iCs/>
          <w:sz w:val="22"/>
          <w:szCs w:val="22"/>
          <w:lang w:val="en-US"/>
        </w:rPr>
        <w:t xml:space="preserve">DL and </w:t>
      </w:r>
      <w:r w:rsidR="00424118" w:rsidRPr="001638A8">
        <w:rPr>
          <w:i/>
          <w:iCs/>
          <w:sz w:val="22"/>
          <w:szCs w:val="22"/>
          <w:lang w:val="en-US"/>
        </w:rPr>
        <w:t>UL guard bands.</w:t>
      </w:r>
    </w:p>
    <w:p w14:paraId="36A3F744" w14:textId="2A1C0B0D" w:rsidR="00424118" w:rsidRPr="001638A8" w:rsidRDefault="00424118" w:rsidP="00BB6C5F">
      <w:pPr>
        <w:rPr>
          <w:sz w:val="22"/>
          <w:szCs w:val="22"/>
          <w:lang w:val="en-US"/>
        </w:rPr>
      </w:pPr>
      <w:r w:rsidRPr="001638A8">
        <w:rPr>
          <w:sz w:val="22"/>
          <w:szCs w:val="22"/>
          <w:lang w:val="en-US"/>
        </w:rPr>
        <w:t xml:space="preserve">This has impact on TYPE1 and TYPE2 PUSCH allocation specified in </w:t>
      </w:r>
      <w:r w:rsidR="001638A8" w:rsidRPr="001638A8">
        <w:rPr>
          <w:sz w:val="22"/>
          <w:szCs w:val="22"/>
          <w:lang w:val="en-US"/>
        </w:rPr>
        <w:t>TS38.214</w:t>
      </w:r>
      <w:r w:rsidRPr="001638A8">
        <w:rPr>
          <w:sz w:val="22"/>
          <w:szCs w:val="22"/>
          <w:lang w:val="en-US"/>
        </w:rPr>
        <w:t xml:space="preserve">. </w:t>
      </w:r>
    </w:p>
    <w:tbl>
      <w:tblPr>
        <w:tblStyle w:val="TableGrid"/>
        <w:tblW w:w="0" w:type="auto"/>
        <w:tblLook w:val="04A0" w:firstRow="1" w:lastRow="0" w:firstColumn="1" w:lastColumn="0" w:noHBand="0" w:noVBand="1"/>
      </w:tblPr>
      <w:tblGrid>
        <w:gridCol w:w="9629"/>
      </w:tblGrid>
      <w:tr w:rsidR="00424118" w14:paraId="5F8F1C2D" w14:textId="77777777" w:rsidTr="00424118">
        <w:tc>
          <w:tcPr>
            <w:tcW w:w="9629" w:type="dxa"/>
          </w:tcPr>
          <w:p w14:paraId="700683C8" w14:textId="77777777" w:rsidR="00424118" w:rsidRDefault="00424118" w:rsidP="00424118">
            <w:pPr>
              <w:pStyle w:val="Heading5"/>
              <w:numPr>
                <w:ilvl w:val="0"/>
                <w:numId w:val="0"/>
              </w:numPr>
              <w:ind w:left="1008" w:hanging="1008"/>
              <w:rPr>
                <w:color w:val="000000"/>
                <w:lang w:val="en-US"/>
              </w:rPr>
            </w:pPr>
            <w:bookmarkStart w:id="3" w:name="_Toc29673209"/>
            <w:bookmarkStart w:id="4" w:name="_Toc29673350"/>
            <w:bookmarkStart w:id="5" w:name="_Toc29674343"/>
            <w:bookmarkStart w:id="6" w:name="_Toc36645573"/>
            <w:bookmarkStart w:id="7" w:name="_Toc45810618"/>
            <w:r>
              <w:rPr>
                <w:color w:val="000000"/>
              </w:rPr>
              <w:t>6.1.2.2</w:t>
            </w:r>
            <w:r>
              <w:rPr>
                <w:color w:val="000000"/>
                <w:lang w:val="en-US"/>
              </w:rPr>
              <w:t>.3</w:t>
            </w:r>
            <w:r>
              <w:rPr>
                <w:color w:val="000000"/>
              </w:rPr>
              <w:tab/>
              <w:t xml:space="preserve">Uplink resource allocation type </w:t>
            </w:r>
            <w:r>
              <w:rPr>
                <w:color w:val="000000"/>
                <w:lang w:val="en-US"/>
              </w:rPr>
              <w:t>2</w:t>
            </w:r>
            <w:bookmarkEnd w:id="3"/>
            <w:bookmarkEnd w:id="4"/>
            <w:bookmarkEnd w:id="5"/>
            <w:bookmarkEnd w:id="6"/>
            <w:bookmarkEnd w:id="7"/>
          </w:p>
          <w:p w14:paraId="61C0F1FF" w14:textId="3E64323C" w:rsidR="00424118" w:rsidRDefault="00424118" w:rsidP="00424118">
            <w:pPr>
              <w:rPr>
                <w:color w:val="000000" w:themeColor="text1"/>
              </w:rPr>
            </w:pPr>
            <w:r w:rsidRPr="009E513F">
              <w:rPr>
                <w:color w:val="0070C0"/>
                <w:lang w:val="en-US"/>
              </w:rPr>
              <w:t>&lt; text omitted &gt;</w:t>
            </w:r>
          </w:p>
          <w:p w14:paraId="44FA7D47" w14:textId="0E22A281" w:rsidR="00424118" w:rsidRDefault="00424118" w:rsidP="00424118">
            <w:r w:rsidRPr="00D525AF">
              <w:rPr>
                <w:color w:val="000000" w:themeColor="text1"/>
              </w:rPr>
              <w:t>For DCI 0_0 monitored in a UE-specific search space and</w:t>
            </w:r>
            <w:r>
              <w:rPr>
                <w:color w:val="000000" w:themeColor="text1"/>
              </w:rPr>
              <w:t xml:space="preserve"> DCI 0_1</w:t>
            </w:r>
            <w:r w:rsidRPr="00D525AF">
              <w:rPr>
                <w:color w:val="000000" w:themeColor="text1"/>
              </w:rPr>
              <w:t xml:space="preserve">, the UE shall determine the resource allocation in frequency domain as an intersection of the resource blocks of the indicated interlaces and the </w:t>
            </w:r>
            <w:r w:rsidRPr="00424118">
              <w:rPr>
                <w:color w:val="000000" w:themeColor="text1"/>
                <w:highlight w:val="yellow"/>
              </w:rPr>
              <w:t>union of the indicated set of RB sets and intra-cell guard bands defined in Clause 7 between the indicated RB sets</w:t>
            </w:r>
            <w:r w:rsidRPr="00D525AF">
              <w:rPr>
                <w:color w:val="000000" w:themeColor="text1"/>
              </w:rPr>
              <w:t>, if any</w:t>
            </w:r>
          </w:p>
          <w:p w14:paraId="4B498C10" w14:textId="24E7FDD1" w:rsidR="00424118" w:rsidRPr="00424118" w:rsidRDefault="00424118" w:rsidP="00BB6C5F">
            <w:r w:rsidRPr="009E513F">
              <w:rPr>
                <w:color w:val="0070C0"/>
                <w:lang w:val="en-US"/>
              </w:rPr>
              <w:t>&lt; text omitted &gt;</w:t>
            </w:r>
          </w:p>
        </w:tc>
      </w:tr>
    </w:tbl>
    <w:p w14:paraId="3E410043" w14:textId="5950AC75" w:rsidR="00424118" w:rsidRDefault="00424118" w:rsidP="00BB6C5F">
      <w:pPr>
        <w:rPr>
          <w:lang w:val="en-US"/>
        </w:rPr>
      </w:pPr>
    </w:p>
    <w:p w14:paraId="06F4F9B2" w14:textId="10E0BBAE" w:rsidR="00424118" w:rsidRPr="001638A8" w:rsidRDefault="00424118" w:rsidP="00BB6C5F">
      <w:pPr>
        <w:rPr>
          <w:sz w:val="22"/>
          <w:szCs w:val="22"/>
          <w:lang w:val="en-US"/>
        </w:rPr>
      </w:pPr>
      <w:r w:rsidRPr="001638A8">
        <w:rPr>
          <w:sz w:val="22"/>
          <w:szCs w:val="22"/>
          <w:lang w:val="en-US"/>
        </w:rPr>
        <w:t>Both TYPE1 and TYPE2 PUSCH frequency domain allocations rely on the fact that GBs are scheduled. Therefore, we see two options</w:t>
      </w:r>
      <w:r w:rsidR="00FD26B6" w:rsidRPr="001638A8">
        <w:rPr>
          <w:sz w:val="22"/>
          <w:szCs w:val="22"/>
          <w:lang w:val="en-US"/>
        </w:rPr>
        <w:t xml:space="preserve"> to go forward:</w:t>
      </w:r>
    </w:p>
    <w:p w14:paraId="5102B6ED" w14:textId="67485CF7" w:rsidR="00424118" w:rsidRPr="001638A8" w:rsidRDefault="00FD26B6" w:rsidP="00FD26B6">
      <w:pPr>
        <w:pStyle w:val="ListParagraph"/>
        <w:numPr>
          <w:ilvl w:val="0"/>
          <w:numId w:val="12"/>
        </w:numPr>
        <w:rPr>
          <w:sz w:val="22"/>
          <w:szCs w:val="22"/>
          <w:lang w:val="en-US"/>
        </w:rPr>
      </w:pPr>
      <w:r w:rsidRPr="001638A8">
        <w:rPr>
          <w:sz w:val="22"/>
          <w:szCs w:val="22"/>
          <w:lang w:val="en-US"/>
        </w:rPr>
        <w:t>Option 1: 4-2 becomes mandatory, if UE supports scheduling on more than one sub-band</w:t>
      </w:r>
    </w:p>
    <w:p w14:paraId="5E236045" w14:textId="4AEB58EB" w:rsidR="00FD26B6" w:rsidRPr="001638A8" w:rsidRDefault="00FD26B6" w:rsidP="00FD26B6">
      <w:pPr>
        <w:pStyle w:val="ListParagraph"/>
        <w:numPr>
          <w:ilvl w:val="0"/>
          <w:numId w:val="12"/>
        </w:numPr>
        <w:rPr>
          <w:sz w:val="22"/>
          <w:szCs w:val="22"/>
          <w:lang w:val="en-US"/>
        </w:rPr>
      </w:pPr>
      <w:r w:rsidRPr="001638A8">
        <w:rPr>
          <w:sz w:val="22"/>
          <w:szCs w:val="22"/>
          <w:lang w:val="en-US"/>
        </w:rPr>
        <w:t xml:space="preserve">Option 2: RAN1 updates specification such that GBs between allocated RB-sets are scheduled or not based on UE capability. </w:t>
      </w:r>
    </w:p>
    <w:p w14:paraId="374502DD" w14:textId="41BF06BD" w:rsidR="00424118" w:rsidRDefault="00424118" w:rsidP="00BB6C5F">
      <w:pPr>
        <w:rPr>
          <w:lang w:val="en-US"/>
        </w:rPr>
      </w:pPr>
    </w:p>
    <w:p w14:paraId="58725E05" w14:textId="1F722226" w:rsidR="00FD26B6" w:rsidRPr="00FD26B6" w:rsidRDefault="00FD26B6" w:rsidP="00FD26B6">
      <w:pPr>
        <w:spacing w:after="0"/>
        <w:rPr>
          <w:i/>
          <w:iCs/>
          <w:sz w:val="22"/>
          <w:szCs w:val="22"/>
          <w:lang w:val="en-US"/>
        </w:rPr>
      </w:pPr>
      <w:r w:rsidRPr="00FD26B6">
        <w:rPr>
          <w:b/>
          <w:bCs/>
          <w:sz w:val="22"/>
          <w:szCs w:val="22"/>
          <w:lang w:val="en-US"/>
        </w:rPr>
        <w:t>Proposal</w:t>
      </w:r>
      <w:r w:rsidR="001638A8">
        <w:rPr>
          <w:b/>
          <w:bCs/>
          <w:sz w:val="22"/>
          <w:szCs w:val="22"/>
          <w:lang w:val="en-US"/>
        </w:rPr>
        <w:t>-2</w:t>
      </w:r>
      <w:r w:rsidRPr="00FD26B6">
        <w:rPr>
          <w:b/>
          <w:bCs/>
          <w:sz w:val="22"/>
          <w:szCs w:val="22"/>
          <w:lang w:val="en-US"/>
        </w:rPr>
        <w:t>:</w:t>
      </w:r>
      <w:r w:rsidRPr="00FD26B6">
        <w:rPr>
          <w:sz w:val="22"/>
          <w:szCs w:val="22"/>
          <w:lang w:val="en-US"/>
        </w:rPr>
        <w:t xml:space="preserve"> </w:t>
      </w:r>
      <w:r w:rsidR="001638A8" w:rsidRPr="001638A8">
        <w:rPr>
          <w:i/>
          <w:iCs/>
          <w:sz w:val="22"/>
          <w:szCs w:val="22"/>
          <w:lang w:val="en-US"/>
        </w:rPr>
        <w:t>RAN1 to</w:t>
      </w:r>
      <w:r w:rsidR="001638A8">
        <w:rPr>
          <w:sz w:val="22"/>
          <w:szCs w:val="22"/>
          <w:lang w:val="en-US"/>
        </w:rPr>
        <w:t xml:space="preserve"> </w:t>
      </w:r>
      <w:r w:rsidR="001638A8">
        <w:rPr>
          <w:i/>
          <w:iCs/>
          <w:sz w:val="22"/>
          <w:szCs w:val="22"/>
          <w:lang w:val="en-US"/>
        </w:rPr>
        <w:t>d</w:t>
      </w:r>
      <w:r w:rsidRPr="00FD26B6">
        <w:rPr>
          <w:i/>
          <w:iCs/>
          <w:sz w:val="22"/>
          <w:szCs w:val="22"/>
          <w:lang w:val="en-US"/>
        </w:rPr>
        <w:t>iscuss which of</w:t>
      </w:r>
      <w:r w:rsidR="001638A8">
        <w:rPr>
          <w:i/>
          <w:iCs/>
          <w:sz w:val="22"/>
          <w:szCs w:val="22"/>
          <w:lang w:val="en-US"/>
        </w:rPr>
        <w:t xml:space="preserve"> below</w:t>
      </w:r>
      <w:r w:rsidRPr="00FD26B6">
        <w:rPr>
          <w:i/>
          <w:iCs/>
          <w:sz w:val="22"/>
          <w:szCs w:val="22"/>
          <w:lang w:val="en-US"/>
        </w:rPr>
        <w:t xml:space="preserve"> two options to select</w:t>
      </w:r>
    </w:p>
    <w:p w14:paraId="49FCDB1F" w14:textId="13F6BB2C" w:rsidR="00FD26B6" w:rsidRPr="00FD26B6" w:rsidRDefault="00FD26B6" w:rsidP="00FD26B6">
      <w:pPr>
        <w:pStyle w:val="ListParagraph"/>
        <w:numPr>
          <w:ilvl w:val="0"/>
          <w:numId w:val="12"/>
        </w:numPr>
        <w:rPr>
          <w:i/>
          <w:iCs/>
          <w:sz w:val="22"/>
          <w:szCs w:val="22"/>
          <w:lang w:val="en-US"/>
        </w:rPr>
      </w:pPr>
      <w:r w:rsidRPr="00FD26B6">
        <w:rPr>
          <w:i/>
          <w:iCs/>
          <w:sz w:val="22"/>
          <w:szCs w:val="22"/>
          <w:lang w:val="en-US"/>
        </w:rPr>
        <w:t>Option 1: 4-2 becomes mandatory</w:t>
      </w:r>
      <w:r>
        <w:rPr>
          <w:i/>
          <w:iCs/>
          <w:sz w:val="22"/>
          <w:szCs w:val="22"/>
          <w:lang w:val="en-US"/>
        </w:rPr>
        <w:t xml:space="preserve"> in RAN4</w:t>
      </w:r>
      <w:r w:rsidRPr="00FD26B6">
        <w:rPr>
          <w:i/>
          <w:iCs/>
          <w:sz w:val="22"/>
          <w:szCs w:val="22"/>
          <w:lang w:val="en-US"/>
        </w:rPr>
        <w:t>, if UE supports scheduling on more than one sub-band</w:t>
      </w:r>
    </w:p>
    <w:p w14:paraId="046F0C3B" w14:textId="77777777" w:rsidR="00FD26B6" w:rsidRPr="00FD26B6" w:rsidRDefault="00FD26B6" w:rsidP="00FD26B6">
      <w:pPr>
        <w:pStyle w:val="ListParagraph"/>
        <w:numPr>
          <w:ilvl w:val="0"/>
          <w:numId w:val="12"/>
        </w:numPr>
        <w:rPr>
          <w:i/>
          <w:iCs/>
          <w:sz w:val="22"/>
          <w:szCs w:val="22"/>
          <w:lang w:val="en-US"/>
        </w:rPr>
      </w:pPr>
      <w:r w:rsidRPr="00FD26B6">
        <w:rPr>
          <w:i/>
          <w:iCs/>
          <w:sz w:val="22"/>
          <w:szCs w:val="22"/>
          <w:lang w:val="en-US"/>
        </w:rPr>
        <w:t xml:space="preserve">Option 2: RAN1 updates specification such that GBs between allocated RB-sets are scheduled or not based on UE capability. </w:t>
      </w:r>
    </w:p>
    <w:p w14:paraId="2EC881A8" w14:textId="77777777" w:rsidR="00FD26B6" w:rsidRDefault="00FD26B6" w:rsidP="00BB6C5F">
      <w:pPr>
        <w:rPr>
          <w:lang w:val="en-US"/>
        </w:rPr>
      </w:pPr>
    </w:p>
    <w:p w14:paraId="1FA290D0" w14:textId="77777777" w:rsidR="00424118" w:rsidRDefault="00424118" w:rsidP="00BB6C5F">
      <w:pPr>
        <w:rPr>
          <w:lang w:val="en-US"/>
        </w:rPr>
      </w:pPr>
    </w:p>
    <w:p w14:paraId="0D827FAF" w14:textId="175EEF23" w:rsidR="0034111C" w:rsidRPr="00A51522" w:rsidRDefault="00EE7FA7" w:rsidP="003B3014">
      <w:pPr>
        <w:pStyle w:val="Heading1"/>
      </w:pPr>
      <w:r w:rsidRPr="00A51522">
        <w:lastRenderedPageBreak/>
        <w:t>Conclusion</w:t>
      </w:r>
      <w:r w:rsidR="00DB39D4" w:rsidRPr="00A51522">
        <w:t>s</w:t>
      </w:r>
    </w:p>
    <w:p w14:paraId="626917E1" w14:textId="08683510" w:rsidR="00731B79" w:rsidRDefault="003D3FBA" w:rsidP="14CAD5E4">
      <w:pPr>
        <w:spacing w:after="120"/>
        <w:jc w:val="both"/>
      </w:pPr>
      <w:r w:rsidRPr="00A51522">
        <w:t>In this contribution</w:t>
      </w:r>
      <w:r w:rsidR="009251C8">
        <w:t>,</w:t>
      </w:r>
      <w:r w:rsidRPr="00A51522">
        <w:t xml:space="preserve"> we discussed </w:t>
      </w:r>
      <w:r w:rsidR="00B046D0">
        <w:rPr>
          <w:lang w:val="en-US" w:eastAsia="fi-FI"/>
        </w:rPr>
        <w:t>remaining open issue</w:t>
      </w:r>
      <w:r w:rsidR="00800DC4" w:rsidRPr="00ED270C">
        <w:rPr>
          <w:lang w:val="en-US" w:eastAsia="fi-FI"/>
        </w:rPr>
        <w:t xml:space="preserve">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2D74D5C1" w14:textId="30189F4F" w:rsidR="001638A8" w:rsidRPr="001638A8" w:rsidRDefault="001638A8" w:rsidP="001638A8">
      <w:pPr>
        <w:rPr>
          <w:i/>
          <w:iCs/>
          <w:sz w:val="22"/>
          <w:szCs w:val="22"/>
          <w:lang w:val="en-US"/>
        </w:rPr>
      </w:pPr>
      <w:r w:rsidRPr="001638A8">
        <w:rPr>
          <w:b/>
          <w:bCs/>
          <w:sz w:val="22"/>
          <w:szCs w:val="22"/>
          <w:lang w:val="en-US"/>
        </w:rPr>
        <w:t>Proposal-1</w:t>
      </w:r>
      <w:r w:rsidRPr="001638A8">
        <w:rPr>
          <w:sz w:val="22"/>
          <w:szCs w:val="22"/>
          <w:lang w:val="en-US"/>
        </w:rPr>
        <w:t xml:space="preserve">: </w:t>
      </w:r>
      <w:r w:rsidRPr="001638A8">
        <w:rPr>
          <w:i/>
          <w:iCs/>
          <w:sz w:val="22"/>
          <w:szCs w:val="22"/>
          <w:lang w:val="en-US"/>
        </w:rPr>
        <w:t>Align RAN1 specification to RAN2 intraCellGuardBand</w:t>
      </w:r>
      <w:r w:rsidRPr="001638A8">
        <w:rPr>
          <w:i/>
          <w:iCs/>
          <w:color w:val="FF0000"/>
          <w:sz w:val="22"/>
          <w:szCs w:val="22"/>
          <w:lang w:val="en-US"/>
        </w:rPr>
        <w:t>s</w:t>
      </w:r>
      <w:r w:rsidRPr="001638A8">
        <w:rPr>
          <w:i/>
          <w:iCs/>
          <w:sz w:val="22"/>
          <w:szCs w:val="22"/>
          <w:lang w:val="en-US"/>
        </w:rPr>
        <w:t>DL-r16 and intraCellGuardBand</w:t>
      </w:r>
      <w:r w:rsidRPr="001638A8">
        <w:rPr>
          <w:i/>
          <w:iCs/>
          <w:color w:val="FF0000"/>
          <w:sz w:val="22"/>
          <w:szCs w:val="22"/>
          <w:lang w:val="en-US"/>
        </w:rPr>
        <w:t>s</w:t>
      </w:r>
      <w:r w:rsidRPr="001638A8">
        <w:rPr>
          <w:i/>
          <w:iCs/>
          <w:sz w:val="22"/>
          <w:szCs w:val="22"/>
          <w:lang w:val="en-US"/>
        </w:rPr>
        <w:t>DL-r16 naming</w:t>
      </w:r>
      <w:r>
        <w:rPr>
          <w:i/>
          <w:iCs/>
          <w:sz w:val="22"/>
          <w:szCs w:val="22"/>
          <w:lang w:val="en-US"/>
        </w:rPr>
        <w:t>.</w:t>
      </w:r>
    </w:p>
    <w:p w14:paraId="763929F2" w14:textId="77777777" w:rsidR="001638A8" w:rsidRPr="001638A8" w:rsidRDefault="001638A8" w:rsidP="001638A8">
      <w:pPr>
        <w:rPr>
          <w:i/>
          <w:iCs/>
          <w:sz w:val="22"/>
          <w:szCs w:val="22"/>
          <w:lang w:val="en-US"/>
        </w:rPr>
      </w:pPr>
      <w:r w:rsidRPr="001638A8">
        <w:rPr>
          <w:b/>
          <w:bCs/>
          <w:sz w:val="22"/>
          <w:szCs w:val="22"/>
          <w:lang w:val="en-US"/>
        </w:rPr>
        <w:t>Observation-1:</w:t>
      </w:r>
      <w:r w:rsidRPr="001638A8">
        <w:rPr>
          <w:sz w:val="22"/>
          <w:szCs w:val="22"/>
          <w:lang w:val="en-US"/>
        </w:rPr>
        <w:t xml:space="preserve"> </w:t>
      </w:r>
      <w:r w:rsidRPr="001638A8">
        <w:rPr>
          <w:i/>
          <w:iCs/>
          <w:sz w:val="22"/>
          <w:szCs w:val="22"/>
          <w:lang w:val="en-US"/>
        </w:rPr>
        <w:t>RAN4 plans to introduce optional capability for scheduling of DL and UL guard bands.</w:t>
      </w:r>
    </w:p>
    <w:p w14:paraId="0A0B2B25" w14:textId="77777777" w:rsidR="001638A8" w:rsidRPr="00FD26B6" w:rsidRDefault="001638A8" w:rsidP="001638A8">
      <w:pPr>
        <w:spacing w:after="0"/>
        <w:rPr>
          <w:i/>
          <w:iCs/>
          <w:sz w:val="22"/>
          <w:szCs w:val="22"/>
          <w:lang w:val="en-US"/>
        </w:rPr>
      </w:pPr>
      <w:r w:rsidRPr="00FD26B6">
        <w:rPr>
          <w:b/>
          <w:bCs/>
          <w:sz w:val="22"/>
          <w:szCs w:val="22"/>
          <w:lang w:val="en-US"/>
        </w:rPr>
        <w:t>Proposal</w:t>
      </w:r>
      <w:r>
        <w:rPr>
          <w:b/>
          <w:bCs/>
          <w:sz w:val="22"/>
          <w:szCs w:val="22"/>
          <w:lang w:val="en-US"/>
        </w:rPr>
        <w:t>-2</w:t>
      </w:r>
      <w:r w:rsidRPr="00FD26B6">
        <w:rPr>
          <w:b/>
          <w:bCs/>
          <w:sz w:val="22"/>
          <w:szCs w:val="22"/>
          <w:lang w:val="en-US"/>
        </w:rPr>
        <w:t>:</w:t>
      </w:r>
      <w:r w:rsidRPr="00FD26B6">
        <w:rPr>
          <w:sz w:val="22"/>
          <w:szCs w:val="22"/>
          <w:lang w:val="en-US"/>
        </w:rPr>
        <w:t xml:space="preserve"> </w:t>
      </w:r>
      <w:r w:rsidRPr="001638A8">
        <w:rPr>
          <w:i/>
          <w:iCs/>
          <w:sz w:val="22"/>
          <w:szCs w:val="22"/>
          <w:lang w:val="en-US"/>
        </w:rPr>
        <w:t>RAN1 to</w:t>
      </w:r>
      <w:r>
        <w:rPr>
          <w:sz w:val="22"/>
          <w:szCs w:val="22"/>
          <w:lang w:val="en-US"/>
        </w:rPr>
        <w:t xml:space="preserve"> </w:t>
      </w:r>
      <w:r>
        <w:rPr>
          <w:i/>
          <w:iCs/>
          <w:sz w:val="22"/>
          <w:szCs w:val="22"/>
          <w:lang w:val="en-US"/>
        </w:rPr>
        <w:t>d</w:t>
      </w:r>
      <w:r w:rsidRPr="00FD26B6">
        <w:rPr>
          <w:i/>
          <w:iCs/>
          <w:sz w:val="22"/>
          <w:szCs w:val="22"/>
          <w:lang w:val="en-US"/>
        </w:rPr>
        <w:t>iscuss which of</w:t>
      </w:r>
      <w:r>
        <w:rPr>
          <w:i/>
          <w:iCs/>
          <w:sz w:val="22"/>
          <w:szCs w:val="22"/>
          <w:lang w:val="en-US"/>
        </w:rPr>
        <w:t xml:space="preserve"> below</w:t>
      </w:r>
      <w:r w:rsidRPr="00FD26B6">
        <w:rPr>
          <w:i/>
          <w:iCs/>
          <w:sz w:val="22"/>
          <w:szCs w:val="22"/>
          <w:lang w:val="en-US"/>
        </w:rPr>
        <w:t xml:space="preserve"> two options to select</w:t>
      </w:r>
    </w:p>
    <w:p w14:paraId="6982D23A" w14:textId="77777777" w:rsidR="001638A8" w:rsidRPr="00FD26B6" w:rsidRDefault="001638A8" w:rsidP="001638A8">
      <w:pPr>
        <w:pStyle w:val="ListParagraph"/>
        <w:numPr>
          <w:ilvl w:val="0"/>
          <w:numId w:val="12"/>
        </w:numPr>
        <w:rPr>
          <w:i/>
          <w:iCs/>
          <w:sz w:val="22"/>
          <w:szCs w:val="22"/>
          <w:lang w:val="en-US"/>
        </w:rPr>
      </w:pPr>
      <w:r w:rsidRPr="00FD26B6">
        <w:rPr>
          <w:i/>
          <w:iCs/>
          <w:sz w:val="22"/>
          <w:szCs w:val="22"/>
          <w:lang w:val="en-US"/>
        </w:rPr>
        <w:t>Option 1: 4-2 becomes mandatory</w:t>
      </w:r>
      <w:r>
        <w:rPr>
          <w:i/>
          <w:iCs/>
          <w:sz w:val="22"/>
          <w:szCs w:val="22"/>
          <w:lang w:val="en-US"/>
        </w:rPr>
        <w:t xml:space="preserve"> in RAN4</w:t>
      </w:r>
      <w:r w:rsidRPr="00FD26B6">
        <w:rPr>
          <w:i/>
          <w:iCs/>
          <w:sz w:val="22"/>
          <w:szCs w:val="22"/>
          <w:lang w:val="en-US"/>
        </w:rPr>
        <w:t>, if UE supports scheduling on more than one sub-band</w:t>
      </w:r>
    </w:p>
    <w:p w14:paraId="5AC7E637" w14:textId="77777777" w:rsidR="001638A8" w:rsidRPr="00FD26B6" w:rsidRDefault="001638A8" w:rsidP="001638A8">
      <w:pPr>
        <w:pStyle w:val="ListParagraph"/>
        <w:numPr>
          <w:ilvl w:val="0"/>
          <w:numId w:val="12"/>
        </w:numPr>
        <w:rPr>
          <w:i/>
          <w:iCs/>
          <w:sz w:val="22"/>
          <w:szCs w:val="22"/>
          <w:lang w:val="en-US"/>
        </w:rPr>
      </w:pPr>
      <w:r w:rsidRPr="00FD26B6">
        <w:rPr>
          <w:i/>
          <w:iCs/>
          <w:sz w:val="22"/>
          <w:szCs w:val="22"/>
          <w:lang w:val="en-US"/>
        </w:rPr>
        <w:t xml:space="preserve">Option 2: RAN1 updates specification such that GBs between allocated RB-sets are scheduled or not based on UE capability. </w:t>
      </w:r>
    </w:p>
    <w:p w14:paraId="4B3CB3EF" w14:textId="77777777" w:rsidR="004C4064" w:rsidRPr="00317A3F" w:rsidRDefault="004C4064" w:rsidP="004C4064">
      <w:pPr>
        <w:overflowPunct/>
        <w:autoSpaceDE/>
        <w:autoSpaceDN/>
        <w:adjustRightInd/>
        <w:spacing w:after="0"/>
        <w:rPr>
          <w:rFonts w:eastAsia="Batang"/>
          <w:kern w:val="24"/>
          <w:sz w:val="18"/>
          <w:szCs w:val="18"/>
          <w:lang w:eastAsia="fi-FI"/>
        </w:rPr>
      </w:pPr>
    </w:p>
    <w:p w14:paraId="2F0729C1" w14:textId="77777777" w:rsidR="0034111C" w:rsidRPr="00A51522" w:rsidRDefault="0034111C" w:rsidP="003B3014">
      <w:pPr>
        <w:pStyle w:val="Heading1"/>
      </w:pPr>
      <w:r w:rsidRPr="00A51522">
        <w:t>References</w:t>
      </w:r>
      <w:r w:rsidR="00A2459D" w:rsidRPr="00A51522">
        <w:t xml:space="preserve"> </w:t>
      </w:r>
    </w:p>
    <w:p w14:paraId="40D99FF0" w14:textId="3BBB992E" w:rsidR="00055676" w:rsidRPr="00227572" w:rsidRDefault="00211030" w:rsidP="00211030">
      <w:pPr>
        <w:numPr>
          <w:ilvl w:val="0"/>
          <w:numId w:val="1"/>
        </w:numPr>
        <w:rPr>
          <w:sz w:val="18"/>
          <w:szCs w:val="18"/>
        </w:rPr>
      </w:pPr>
      <w:bookmarkStart w:id="8" w:name="_Ref534191929"/>
      <w:r w:rsidRPr="00227572">
        <w:rPr>
          <w:sz w:val="18"/>
          <w:szCs w:val="18"/>
          <w:lang w:eastAsia="zh-CN"/>
        </w:rPr>
        <w:t>RP-182878</w:t>
      </w:r>
      <w:r w:rsidR="1CEFF1BD" w:rsidRPr="00227572">
        <w:rPr>
          <w:sz w:val="18"/>
          <w:szCs w:val="18"/>
          <w:lang w:eastAsia="zh-CN"/>
        </w:rPr>
        <w:t>, “</w:t>
      </w:r>
      <w:r w:rsidR="002C28CE" w:rsidRPr="00227572">
        <w:rPr>
          <w:i/>
          <w:iCs/>
          <w:sz w:val="18"/>
          <w:szCs w:val="18"/>
          <w:lang w:eastAsia="zh-CN"/>
        </w:rPr>
        <w:t>New WID on NR-based Access to Unlicensed Spectrum</w:t>
      </w:r>
      <w:r w:rsidR="1CEFF1BD" w:rsidRPr="00227572">
        <w:rPr>
          <w:sz w:val="18"/>
          <w:szCs w:val="18"/>
          <w:lang w:eastAsia="zh-CN"/>
        </w:rPr>
        <w:t>”, Qualcomm</w:t>
      </w:r>
      <w:bookmarkEnd w:id="8"/>
    </w:p>
    <w:p w14:paraId="40B72526" w14:textId="323B29B5" w:rsidR="002C28CE" w:rsidRPr="00227572" w:rsidRDefault="00211030" w:rsidP="00211030">
      <w:pPr>
        <w:numPr>
          <w:ilvl w:val="0"/>
          <w:numId w:val="1"/>
        </w:numPr>
        <w:rPr>
          <w:sz w:val="18"/>
          <w:szCs w:val="18"/>
        </w:rPr>
      </w:pPr>
      <w:bookmarkStart w:id="9" w:name="_Ref534191941"/>
      <w:r w:rsidRPr="00227572">
        <w:rPr>
          <w:sz w:val="18"/>
          <w:szCs w:val="18"/>
        </w:rPr>
        <w:t>TR 38.889, “</w:t>
      </w:r>
      <w:r w:rsidRPr="00227572">
        <w:rPr>
          <w:i/>
          <w:sz w:val="18"/>
          <w:szCs w:val="18"/>
        </w:rPr>
        <w:t>Study on NR-based access to unlicensed spectrum (Release 16)</w:t>
      </w:r>
      <w:r w:rsidRPr="00227572">
        <w:rPr>
          <w:sz w:val="18"/>
          <w:szCs w:val="18"/>
        </w:rPr>
        <w:t>”, 3GPP v16</w:t>
      </w:r>
      <w:bookmarkEnd w:id="9"/>
    </w:p>
    <w:p w14:paraId="22BBD694" w14:textId="1B23ACBB" w:rsidR="001E1E18" w:rsidRPr="00227572" w:rsidRDefault="001E1E18" w:rsidP="00211030">
      <w:pPr>
        <w:numPr>
          <w:ilvl w:val="0"/>
          <w:numId w:val="1"/>
        </w:numPr>
        <w:rPr>
          <w:sz w:val="18"/>
          <w:szCs w:val="18"/>
        </w:rPr>
      </w:pPr>
      <w:bookmarkStart w:id="10" w:name="_Ref15459134"/>
      <w:r w:rsidRPr="00227572">
        <w:rPr>
          <w:sz w:val="18"/>
          <w:szCs w:val="18"/>
        </w:rPr>
        <w:t xml:space="preserve">RP-191581, </w:t>
      </w:r>
      <w:r w:rsidRPr="00227572">
        <w:rPr>
          <w:i/>
          <w:sz w:val="18"/>
          <w:szCs w:val="18"/>
        </w:rPr>
        <w:t>“Guidance on essential functionality for NR-U”</w:t>
      </w:r>
      <w:r w:rsidRPr="00227572">
        <w:rPr>
          <w:sz w:val="18"/>
          <w:szCs w:val="18"/>
        </w:rPr>
        <w:t>, Qualcomm</w:t>
      </w:r>
      <w:bookmarkEnd w:id="10"/>
    </w:p>
    <w:sectPr w:rsidR="001E1E18" w:rsidRPr="00227572"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03CB" w14:textId="77777777" w:rsidR="001638A8" w:rsidRDefault="001638A8">
      <w:r>
        <w:separator/>
      </w:r>
    </w:p>
  </w:endnote>
  <w:endnote w:type="continuationSeparator" w:id="0">
    <w:p w14:paraId="5347101B" w14:textId="77777777" w:rsidR="001638A8" w:rsidRDefault="001638A8">
      <w:r>
        <w:continuationSeparator/>
      </w:r>
    </w:p>
  </w:endnote>
  <w:endnote w:type="continuationNotice" w:id="1">
    <w:p w14:paraId="3C1630A6" w14:textId="77777777" w:rsidR="001638A8" w:rsidRDefault="00163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50E6F" w14:textId="77777777" w:rsidR="001638A8" w:rsidRDefault="001638A8">
      <w:r>
        <w:separator/>
      </w:r>
    </w:p>
  </w:footnote>
  <w:footnote w:type="continuationSeparator" w:id="0">
    <w:p w14:paraId="4BA60AF0" w14:textId="77777777" w:rsidR="001638A8" w:rsidRDefault="001638A8">
      <w:r>
        <w:continuationSeparator/>
      </w:r>
    </w:p>
  </w:footnote>
  <w:footnote w:type="continuationNotice" w:id="1">
    <w:p w14:paraId="2D643023" w14:textId="77777777" w:rsidR="001638A8" w:rsidRDefault="001638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434339"/>
    <w:multiLevelType w:val="hybridMultilevel"/>
    <w:tmpl w:val="5714F3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43B778A"/>
    <w:multiLevelType w:val="hybridMultilevel"/>
    <w:tmpl w:val="57BEA246"/>
    <w:lvl w:ilvl="0" w:tplc="19D6AC94">
      <w:start w:val="1"/>
      <w:numFmt w:val="bullet"/>
      <w:lvlText w:val="•"/>
      <w:lvlJc w:val="left"/>
      <w:pPr>
        <w:tabs>
          <w:tab w:val="num" w:pos="720"/>
        </w:tabs>
        <w:ind w:left="720" w:hanging="360"/>
      </w:pPr>
      <w:rPr>
        <w:rFonts w:ascii="Arial" w:hAnsi="Arial" w:hint="default"/>
      </w:rPr>
    </w:lvl>
    <w:lvl w:ilvl="1" w:tplc="03D2F29C">
      <w:numFmt w:val="bullet"/>
      <w:lvlText w:val=""/>
      <w:lvlJc w:val="left"/>
      <w:pPr>
        <w:ind w:left="1455" w:hanging="375"/>
      </w:pPr>
      <w:rPr>
        <w:rFonts w:ascii="Wingdings" w:eastAsia="SimSun" w:hAnsi="Wingdings" w:cs="Times New Roman" w:hint="default"/>
      </w:rPr>
    </w:lvl>
    <w:lvl w:ilvl="2" w:tplc="F00A44FE">
      <w:numFmt w:val="bullet"/>
      <w:lvlText w:val="-"/>
      <w:lvlJc w:val="left"/>
      <w:pPr>
        <w:ind w:left="2160" w:hanging="360"/>
      </w:pPr>
      <w:rPr>
        <w:rFonts w:ascii="Times New Roman" w:eastAsia="SimSun" w:hAnsi="Times New Roman" w:cs="Times New Roman"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AC66FC"/>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8"/>
  </w:num>
  <w:num w:numId="5">
    <w:abstractNumId w:val="2"/>
  </w:num>
  <w:num w:numId="6">
    <w:abstractNumId w:val="11"/>
  </w:num>
  <w:num w:numId="7">
    <w:abstractNumId w:val="9"/>
  </w:num>
  <w:num w:numId="8">
    <w:abstractNumId w:val="1"/>
  </w:num>
  <w:num w:numId="9">
    <w:abstractNumId w:val="3"/>
  </w:num>
  <w:num w:numId="10">
    <w:abstractNumId w:val="10"/>
  </w:num>
  <w:num w:numId="11">
    <w:abstractNumId w:val="0"/>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2B"/>
    <w:rsid w:val="00013632"/>
    <w:rsid w:val="000137FC"/>
    <w:rsid w:val="00013F5E"/>
    <w:rsid w:val="0001403F"/>
    <w:rsid w:val="00014091"/>
    <w:rsid w:val="0001411B"/>
    <w:rsid w:val="000146BD"/>
    <w:rsid w:val="0001487F"/>
    <w:rsid w:val="00014F35"/>
    <w:rsid w:val="00015759"/>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28A3"/>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B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4FCA"/>
    <w:rsid w:val="00086319"/>
    <w:rsid w:val="0009011E"/>
    <w:rsid w:val="0009185A"/>
    <w:rsid w:val="00091963"/>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D786B"/>
    <w:rsid w:val="000E06FC"/>
    <w:rsid w:val="000E071E"/>
    <w:rsid w:val="000E14A8"/>
    <w:rsid w:val="000E20D5"/>
    <w:rsid w:val="000E248B"/>
    <w:rsid w:val="000E27AA"/>
    <w:rsid w:val="000E337A"/>
    <w:rsid w:val="000E3671"/>
    <w:rsid w:val="000E3769"/>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1603"/>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5949"/>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A5E"/>
    <w:rsid w:val="00141F08"/>
    <w:rsid w:val="00141FF2"/>
    <w:rsid w:val="0014287A"/>
    <w:rsid w:val="00142DE2"/>
    <w:rsid w:val="00144C87"/>
    <w:rsid w:val="001467B1"/>
    <w:rsid w:val="00146DF0"/>
    <w:rsid w:val="00150175"/>
    <w:rsid w:val="001502C8"/>
    <w:rsid w:val="00150387"/>
    <w:rsid w:val="001506FF"/>
    <w:rsid w:val="00150B49"/>
    <w:rsid w:val="0015130F"/>
    <w:rsid w:val="00151DC9"/>
    <w:rsid w:val="00153849"/>
    <w:rsid w:val="00153A0F"/>
    <w:rsid w:val="001540E4"/>
    <w:rsid w:val="00154991"/>
    <w:rsid w:val="00154DA4"/>
    <w:rsid w:val="00155464"/>
    <w:rsid w:val="001558FB"/>
    <w:rsid w:val="00155BFD"/>
    <w:rsid w:val="00155DBD"/>
    <w:rsid w:val="00156A19"/>
    <w:rsid w:val="00156DC3"/>
    <w:rsid w:val="00157390"/>
    <w:rsid w:val="00157E6F"/>
    <w:rsid w:val="00157FAC"/>
    <w:rsid w:val="00160998"/>
    <w:rsid w:val="00160CD6"/>
    <w:rsid w:val="0016163D"/>
    <w:rsid w:val="00161F86"/>
    <w:rsid w:val="00162475"/>
    <w:rsid w:val="00162A24"/>
    <w:rsid w:val="0016316A"/>
    <w:rsid w:val="001638A8"/>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925"/>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1235"/>
    <w:rsid w:val="00192FE6"/>
    <w:rsid w:val="00193986"/>
    <w:rsid w:val="00193B08"/>
    <w:rsid w:val="00194570"/>
    <w:rsid w:val="00194E5A"/>
    <w:rsid w:val="00195812"/>
    <w:rsid w:val="00195EC5"/>
    <w:rsid w:val="00196BF4"/>
    <w:rsid w:val="001972DA"/>
    <w:rsid w:val="001976AA"/>
    <w:rsid w:val="001A02F6"/>
    <w:rsid w:val="001A04AD"/>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300"/>
    <w:rsid w:val="001C2917"/>
    <w:rsid w:val="001C29B1"/>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400"/>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1F7E35"/>
    <w:rsid w:val="00200E97"/>
    <w:rsid w:val="00200F14"/>
    <w:rsid w:val="0020189F"/>
    <w:rsid w:val="002025FC"/>
    <w:rsid w:val="0020355E"/>
    <w:rsid w:val="00203A52"/>
    <w:rsid w:val="00203C7E"/>
    <w:rsid w:val="00204B3A"/>
    <w:rsid w:val="0020535A"/>
    <w:rsid w:val="00205642"/>
    <w:rsid w:val="002061BC"/>
    <w:rsid w:val="00206955"/>
    <w:rsid w:val="00206D29"/>
    <w:rsid w:val="0020743E"/>
    <w:rsid w:val="00207860"/>
    <w:rsid w:val="0020793E"/>
    <w:rsid w:val="00207FB1"/>
    <w:rsid w:val="00210309"/>
    <w:rsid w:val="00211030"/>
    <w:rsid w:val="00212694"/>
    <w:rsid w:val="00212FB8"/>
    <w:rsid w:val="00213104"/>
    <w:rsid w:val="00213709"/>
    <w:rsid w:val="00214400"/>
    <w:rsid w:val="002149AF"/>
    <w:rsid w:val="00214A86"/>
    <w:rsid w:val="00215AAA"/>
    <w:rsid w:val="0021683C"/>
    <w:rsid w:val="00216856"/>
    <w:rsid w:val="00217DB6"/>
    <w:rsid w:val="002201EA"/>
    <w:rsid w:val="00220FE8"/>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572"/>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090B"/>
    <w:rsid w:val="00261644"/>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42D"/>
    <w:rsid w:val="002A352A"/>
    <w:rsid w:val="002A607D"/>
    <w:rsid w:val="002A7F16"/>
    <w:rsid w:val="002B0878"/>
    <w:rsid w:val="002B089A"/>
    <w:rsid w:val="002B132E"/>
    <w:rsid w:val="002B257E"/>
    <w:rsid w:val="002B2813"/>
    <w:rsid w:val="002B2D29"/>
    <w:rsid w:val="002B54E9"/>
    <w:rsid w:val="002B5DA0"/>
    <w:rsid w:val="002B6605"/>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01E"/>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A3F"/>
    <w:rsid w:val="00317BD0"/>
    <w:rsid w:val="00320299"/>
    <w:rsid w:val="00320BEE"/>
    <w:rsid w:val="00321154"/>
    <w:rsid w:val="003211B0"/>
    <w:rsid w:val="00321EDA"/>
    <w:rsid w:val="0032235B"/>
    <w:rsid w:val="003224AA"/>
    <w:rsid w:val="003224E7"/>
    <w:rsid w:val="00322AEB"/>
    <w:rsid w:val="00322CD6"/>
    <w:rsid w:val="00323FA5"/>
    <w:rsid w:val="00323FF0"/>
    <w:rsid w:val="003254F7"/>
    <w:rsid w:val="00325CCE"/>
    <w:rsid w:val="00325D2C"/>
    <w:rsid w:val="00325D7A"/>
    <w:rsid w:val="00326145"/>
    <w:rsid w:val="00326B59"/>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9CA"/>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BB6"/>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1AC"/>
    <w:rsid w:val="003739D6"/>
    <w:rsid w:val="003739E0"/>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362"/>
    <w:rsid w:val="003908F5"/>
    <w:rsid w:val="003910B3"/>
    <w:rsid w:val="0039391B"/>
    <w:rsid w:val="00393E44"/>
    <w:rsid w:val="00393F21"/>
    <w:rsid w:val="00394270"/>
    <w:rsid w:val="00395528"/>
    <w:rsid w:val="00397AB6"/>
    <w:rsid w:val="00397ACA"/>
    <w:rsid w:val="003A0848"/>
    <w:rsid w:val="003A0DB0"/>
    <w:rsid w:val="003A10C3"/>
    <w:rsid w:val="003A2231"/>
    <w:rsid w:val="003A2F16"/>
    <w:rsid w:val="003A597F"/>
    <w:rsid w:val="003A619B"/>
    <w:rsid w:val="003A6B58"/>
    <w:rsid w:val="003A71A8"/>
    <w:rsid w:val="003B00CA"/>
    <w:rsid w:val="003B030B"/>
    <w:rsid w:val="003B0432"/>
    <w:rsid w:val="003B0821"/>
    <w:rsid w:val="003B0BE9"/>
    <w:rsid w:val="003B0DAF"/>
    <w:rsid w:val="003B1501"/>
    <w:rsid w:val="003B2898"/>
    <w:rsid w:val="003B2E9B"/>
    <w:rsid w:val="003B2F8D"/>
    <w:rsid w:val="003B3014"/>
    <w:rsid w:val="003B4FAA"/>
    <w:rsid w:val="003B547A"/>
    <w:rsid w:val="003B68C8"/>
    <w:rsid w:val="003B6C6C"/>
    <w:rsid w:val="003B6CB0"/>
    <w:rsid w:val="003B75B9"/>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AAE"/>
    <w:rsid w:val="003F6E12"/>
    <w:rsid w:val="003F72B0"/>
    <w:rsid w:val="003F75ED"/>
    <w:rsid w:val="004000DD"/>
    <w:rsid w:val="004002B7"/>
    <w:rsid w:val="00400F31"/>
    <w:rsid w:val="0040283A"/>
    <w:rsid w:val="00403A19"/>
    <w:rsid w:val="00404844"/>
    <w:rsid w:val="00406B4D"/>
    <w:rsid w:val="00406DF6"/>
    <w:rsid w:val="00406ED7"/>
    <w:rsid w:val="00410559"/>
    <w:rsid w:val="00410BD2"/>
    <w:rsid w:val="004126BD"/>
    <w:rsid w:val="00413FAB"/>
    <w:rsid w:val="004140C4"/>
    <w:rsid w:val="0041443C"/>
    <w:rsid w:val="00414D94"/>
    <w:rsid w:val="004154F7"/>
    <w:rsid w:val="00415861"/>
    <w:rsid w:val="00416D44"/>
    <w:rsid w:val="00416EB8"/>
    <w:rsid w:val="004172D6"/>
    <w:rsid w:val="0041749F"/>
    <w:rsid w:val="004176FF"/>
    <w:rsid w:val="00421729"/>
    <w:rsid w:val="00421A27"/>
    <w:rsid w:val="00421D0A"/>
    <w:rsid w:val="004238B8"/>
    <w:rsid w:val="004239B5"/>
    <w:rsid w:val="00423E59"/>
    <w:rsid w:val="00424118"/>
    <w:rsid w:val="004241C5"/>
    <w:rsid w:val="004244AF"/>
    <w:rsid w:val="00424FA7"/>
    <w:rsid w:val="00425397"/>
    <w:rsid w:val="0042592E"/>
    <w:rsid w:val="00425D78"/>
    <w:rsid w:val="00426428"/>
    <w:rsid w:val="00426A87"/>
    <w:rsid w:val="004309D8"/>
    <w:rsid w:val="004313D1"/>
    <w:rsid w:val="00431FD5"/>
    <w:rsid w:val="00432110"/>
    <w:rsid w:val="00432933"/>
    <w:rsid w:val="00433EBE"/>
    <w:rsid w:val="00434406"/>
    <w:rsid w:val="00436AD2"/>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2FD"/>
    <w:rsid w:val="00463823"/>
    <w:rsid w:val="00463991"/>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CF"/>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064"/>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BAF"/>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56D1"/>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FB1"/>
    <w:rsid w:val="005303D3"/>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1035"/>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671"/>
    <w:rsid w:val="00566FDC"/>
    <w:rsid w:val="00567415"/>
    <w:rsid w:val="00567610"/>
    <w:rsid w:val="0057047A"/>
    <w:rsid w:val="00570AE6"/>
    <w:rsid w:val="00570C3A"/>
    <w:rsid w:val="00570D9F"/>
    <w:rsid w:val="00571CA8"/>
    <w:rsid w:val="00571F56"/>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117"/>
    <w:rsid w:val="00595389"/>
    <w:rsid w:val="00596BBA"/>
    <w:rsid w:val="00597272"/>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A72F0"/>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C6"/>
    <w:rsid w:val="005F3F16"/>
    <w:rsid w:val="005F467B"/>
    <w:rsid w:val="005F4C14"/>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3EA"/>
    <w:rsid w:val="00607947"/>
    <w:rsid w:val="00607D81"/>
    <w:rsid w:val="00610747"/>
    <w:rsid w:val="00610E03"/>
    <w:rsid w:val="00610E35"/>
    <w:rsid w:val="0061176E"/>
    <w:rsid w:val="00611A5A"/>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4E3"/>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087D"/>
    <w:rsid w:val="00640BB2"/>
    <w:rsid w:val="0064165D"/>
    <w:rsid w:val="006433BD"/>
    <w:rsid w:val="00643606"/>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3BE"/>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B72"/>
    <w:rsid w:val="00672C64"/>
    <w:rsid w:val="006737CC"/>
    <w:rsid w:val="0067499F"/>
    <w:rsid w:val="00674E6A"/>
    <w:rsid w:val="00675DD6"/>
    <w:rsid w:val="00676A64"/>
    <w:rsid w:val="00677925"/>
    <w:rsid w:val="00677A6E"/>
    <w:rsid w:val="0068043E"/>
    <w:rsid w:val="00680F46"/>
    <w:rsid w:val="00681FDC"/>
    <w:rsid w:val="006823E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60DC"/>
    <w:rsid w:val="006968CB"/>
    <w:rsid w:val="00696D63"/>
    <w:rsid w:val="006A032F"/>
    <w:rsid w:val="006A04A0"/>
    <w:rsid w:val="006A1CF7"/>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5B2"/>
    <w:rsid w:val="006C4FC1"/>
    <w:rsid w:val="006C51A5"/>
    <w:rsid w:val="006C529D"/>
    <w:rsid w:val="006C6685"/>
    <w:rsid w:val="006C7CC9"/>
    <w:rsid w:val="006C7D45"/>
    <w:rsid w:val="006D06A1"/>
    <w:rsid w:val="006D0A81"/>
    <w:rsid w:val="006D0B24"/>
    <w:rsid w:val="006D0E6B"/>
    <w:rsid w:val="006D1073"/>
    <w:rsid w:val="006D2146"/>
    <w:rsid w:val="006D27F1"/>
    <w:rsid w:val="006D3D56"/>
    <w:rsid w:val="006D44B6"/>
    <w:rsid w:val="006D4E7A"/>
    <w:rsid w:val="006D632E"/>
    <w:rsid w:val="006D6CA7"/>
    <w:rsid w:val="006D712F"/>
    <w:rsid w:val="006D77FA"/>
    <w:rsid w:val="006E01FF"/>
    <w:rsid w:val="006E094A"/>
    <w:rsid w:val="006E12B1"/>
    <w:rsid w:val="006E13D1"/>
    <w:rsid w:val="006E15F1"/>
    <w:rsid w:val="006E1C1E"/>
    <w:rsid w:val="006E283E"/>
    <w:rsid w:val="006E2F8C"/>
    <w:rsid w:val="006E46C6"/>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890"/>
    <w:rsid w:val="006F6BBD"/>
    <w:rsid w:val="006F7914"/>
    <w:rsid w:val="006F7920"/>
    <w:rsid w:val="006F7B8B"/>
    <w:rsid w:val="006F7E46"/>
    <w:rsid w:val="007002E4"/>
    <w:rsid w:val="00700AB4"/>
    <w:rsid w:val="00700FCA"/>
    <w:rsid w:val="00701645"/>
    <w:rsid w:val="00701678"/>
    <w:rsid w:val="00702579"/>
    <w:rsid w:val="007027E0"/>
    <w:rsid w:val="00702BAF"/>
    <w:rsid w:val="00702D5A"/>
    <w:rsid w:val="00702EF7"/>
    <w:rsid w:val="00702FA5"/>
    <w:rsid w:val="007034BE"/>
    <w:rsid w:val="00703989"/>
    <w:rsid w:val="007042E9"/>
    <w:rsid w:val="007044E2"/>
    <w:rsid w:val="007045DA"/>
    <w:rsid w:val="007046D0"/>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2B9B"/>
    <w:rsid w:val="007236A3"/>
    <w:rsid w:val="007239B6"/>
    <w:rsid w:val="0072490A"/>
    <w:rsid w:val="0072517D"/>
    <w:rsid w:val="00725509"/>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45A2"/>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276"/>
    <w:rsid w:val="0075741E"/>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11E"/>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10F"/>
    <w:rsid w:val="00781897"/>
    <w:rsid w:val="007826C8"/>
    <w:rsid w:val="00782972"/>
    <w:rsid w:val="0078334B"/>
    <w:rsid w:val="00784190"/>
    <w:rsid w:val="0078457B"/>
    <w:rsid w:val="00784756"/>
    <w:rsid w:val="007852C7"/>
    <w:rsid w:val="0078539D"/>
    <w:rsid w:val="007856C1"/>
    <w:rsid w:val="0078656D"/>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8"/>
    <w:rsid w:val="007A2559"/>
    <w:rsid w:val="007A2A57"/>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234D"/>
    <w:rsid w:val="007B3502"/>
    <w:rsid w:val="007B3F3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2D20"/>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14B"/>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1E08"/>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2F78"/>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5F45"/>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6A0"/>
    <w:rsid w:val="00880783"/>
    <w:rsid w:val="008808D5"/>
    <w:rsid w:val="00880EDF"/>
    <w:rsid w:val="00881B9F"/>
    <w:rsid w:val="00881D4F"/>
    <w:rsid w:val="00881EB3"/>
    <w:rsid w:val="008826D5"/>
    <w:rsid w:val="00882DE6"/>
    <w:rsid w:val="008834AF"/>
    <w:rsid w:val="008838ED"/>
    <w:rsid w:val="00883D4D"/>
    <w:rsid w:val="0088444E"/>
    <w:rsid w:val="0088448E"/>
    <w:rsid w:val="00884A27"/>
    <w:rsid w:val="00884B59"/>
    <w:rsid w:val="008850BA"/>
    <w:rsid w:val="00885125"/>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1D6"/>
    <w:rsid w:val="008B13E2"/>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F00DB"/>
    <w:rsid w:val="008F03E0"/>
    <w:rsid w:val="008F0BCD"/>
    <w:rsid w:val="008F110E"/>
    <w:rsid w:val="008F1264"/>
    <w:rsid w:val="008F3161"/>
    <w:rsid w:val="008F47C6"/>
    <w:rsid w:val="008F4A51"/>
    <w:rsid w:val="008F5948"/>
    <w:rsid w:val="008F69CB"/>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29F"/>
    <w:rsid w:val="00917924"/>
    <w:rsid w:val="009213BD"/>
    <w:rsid w:val="00924627"/>
    <w:rsid w:val="009249E4"/>
    <w:rsid w:val="009249EB"/>
    <w:rsid w:val="00924D7F"/>
    <w:rsid w:val="00925048"/>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14CC"/>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2800"/>
    <w:rsid w:val="009731D6"/>
    <w:rsid w:val="00973643"/>
    <w:rsid w:val="0097448F"/>
    <w:rsid w:val="00974746"/>
    <w:rsid w:val="00974A98"/>
    <w:rsid w:val="00974C40"/>
    <w:rsid w:val="00975119"/>
    <w:rsid w:val="009763B7"/>
    <w:rsid w:val="009766A5"/>
    <w:rsid w:val="00976F04"/>
    <w:rsid w:val="009775E9"/>
    <w:rsid w:val="009777F4"/>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6D80"/>
    <w:rsid w:val="009C70DB"/>
    <w:rsid w:val="009D0D8A"/>
    <w:rsid w:val="009D0E75"/>
    <w:rsid w:val="009D19BC"/>
    <w:rsid w:val="009D2348"/>
    <w:rsid w:val="009D294C"/>
    <w:rsid w:val="009D2F0C"/>
    <w:rsid w:val="009D3578"/>
    <w:rsid w:val="009D3A5F"/>
    <w:rsid w:val="009D5193"/>
    <w:rsid w:val="009D5C32"/>
    <w:rsid w:val="009D6472"/>
    <w:rsid w:val="009D755B"/>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3E6"/>
    <w:rsid w:val="00A20653"/>
    <w:rsid w:val="00A20A39"/>
    <w:rsid w:val="00A220A9"/>
    <w:rsid w:val="00A2219E"/>
    <w:rsid w:val="00A23069"/>
    <w:rsid w:val="00A238BD"/>
    <w:rsid w:val="00A243E4"/>
    <w:rsid w:val="00A2451B"/>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6D0"/>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E61"/>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87C77"/>
    <w:rsid w:val="00A90A2D"/>
    <w:rsid w:val="00A9122A"/>
    <w:rsid w:val="00A91244"/>
    <w:rsid w:val="00A91314"/>
    <w:rsid w:val="00A91AA1"/>
    <w:rsid w:val="00A92776"/>
    <w:rsid w:val="00A93181"/>
    <w:rsid w:val="00A9342C"/>
    <w:rsid w:val="00A9349F"/>
    <w:rsid w:val="00A938E6"/>
    <w:rsid w:val="00A93CCF"/>
    <w:rsid w:val="00A95BD5"/>
    <w:rsid w:val="00A96F78"/>
    <w:rsid w:val="00AA00C6"/>
    <w:rsid w:val="00AA01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956"/>
    <w:rsid w:val="00AC0A73"/>
    <w:rsid w:val="00AC0AB6"/>
    <w:rsid w:val="00AC0C71"/>
    <w:rsid w:val="00AC10AD"/>
    <w:rsid w:val="00AC117A"/>
    <w:rsid w:val="00AC12A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6D0"/>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3ED4"/>
    <w:rsid w:val="00B2506B"/>
    <w:rsid w:val="00B25454"/>
    <w:rsid w:val="00B2628E"/>
    <w:rsid w:val="00B266B0"/>
    <w:rsid w:val="00B26E28"/>
    <w:rsid w:val="00B27044"/>
    <w:rsid w:val="00B27921"/>
    <w:rsid w:val="00B3000E"/>
    <w:rsid w:val="00B30325"/>
    <w:rsid w:val="00B30B17"/>
    <w:rsid w:val="00B31498"/>
    <w:rsid w:val="00B3162D"/>
    <w:rsid w:val="00B31787"/>
    <w:rsid w:val="00B31BBA"/>
    <w:rsid w:val="00B326A8"/>
    <w:rsid w:val="00B329EB"/>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47A84"/>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081"/>
    <w:rsid w:val="00B61188"/>
    <w:rsid w:val="00B63337"/>
    <w:rsid w:val="00B6339E"/>
    <w:rsid w:val="00B6369F"/>
    <w:rsid w:val="00B639D7"/>
    <w:rsid w:val="00B644CF"/>
    <w:rsid w:val="00B64599"/>
    <w:rsid w:val="00B64AA7"/>
    <w:rsid w:val="00B653EA"/>
    <w:rsid w:val="00B65C7C"/>
    <w:rsid w:val="00B66594"/>
    <w:rsid w:val="00B66E16"/>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87CE7"/>
    <w:rsid w:val="00B9015D"/>
    <w:rsid w:val="00B90E2A"/>
    <w:rsid w:val="00B90F2A"/>
    <w:rsid w:val="00B912AF"/>
    <w:rsid w:val="00B9198D"/>
    <w:rsid w:val="00B93008"/>
    <w:rsid w:val="00B93A92"/>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6C5F"/>
    <w:rsid w:val="00BB754F"/>
    <w:rsid w:val="00BC07D4"/>
    <w:rsid w:val="00BC0A5D"/>
    <w:rsid w:val="00BC0BE3"/>
    <w:rsid w:val="00BC106B"/>
    <w:rsid w:val="00BC1522"/>
    <w:rsid w:val="00BC1AD9"/>
    <w:rsid w:val="00BC2200"/>
    <w:rsid w:val="00BC32E7"/>
    <w:rsid w:val="00BC3AB8"/>
    <w:rsid w:val="00BC478E"/>
    <w:rsid w:val="00BC4811"/>
    <w:rsid w:val="00BC4958"/>
    <w:rsid w:val="00BC52B9"/>
    <w:rsid w:val="00BC58B9"/>
    <w:rsid w:val="00BC5CCB"/>
    <w:rsid w:val="00BC6A49"/>
    <w:rsid w:val="00BC746D"/>
    <w:rsid w:val="00BC7E25"/>
    <w:rsid w:val="00BD04BC"/>
    <w:rsid w:val="00BD0535"/>
    <w:rsid w:val="00BD0E81"/>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0E16"/>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53AF"/>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09A"/>
    <w:rsid w:val="00C46697"/>
    <w:rsid w:val="00C46773"/>
    <w:rsid w:val="00C46B7E"/>
    <w:rsid w:val="00C47185"/>
    <w:rsid w:val="00C506D8"/>
    <w:rsid w:val="00C50A4E"/>
    <w:rsid w:val="00C50CE4"/>
    <w:rsid w:val="00C51A73"/>
    <w:rsid w:val="00C5206E"/>
    <w:rsid w:val="00C520B1"/>
    <w:rsid w:val="00C522D6"/>
    <w:rsid w:val="00C53A37"/>
    <w:rsid w:val="00C53BBB"/>
    <w:rsid w:val="00C54020"/>
    <w:rsid w:val="00C5406F"/>
    <w:rsid w:val="00C545C5"/>
    <w:rsid w:val="00C54BD7"/>
    <w:rsid w:val="00C55416"/>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67"/>
    <w:rsid w:val="00C807DF"/>
    <w:rsid w:val="00C80BDF"/>
    <w:rsid w:val="00C82CE4"/>
    <w:rsid w:val="00C82DA3"/>
    <w:rsid w:val="00C84046"/>
    <w:rsid w:val="00C84D39"/>
    <w:rsid w:val="00C85277"/>
    <w:rsid w:val="00C8562B"/>
    <w:rsid w:val="00C85910"/>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60B"/>
    <w:rsid w:val="00CA4B66"/>
    <w:rsid w:val="00CA4F8B"/>
    <w:rsid w:val="00CA519F"/>
    <w:rsid w:val="00CA7142"/>
    <w:rsid w:val="00CA71A5"/>
    <w:rsid w:val="00CB0716"/>
    <w:rsid w:val="00CB08BF"/>
    <w:rsid w:val="00CB09DA"/>
    <w:rsid w:val="00CB0BD9"/>
    <w:rsid w:val="00CB1CAC"/>
    <w:rsid w:val="00CB1D87"/>
    <w:rsid w:val="00CB1DE8"/>
    <w:rsid w:val="00CB1E3B"/>
    <w:rsid w:val="00CB1F1D"/>
    <w:rsid w:val="00CB364B"/>
    <w:rsid w:val="00CB3B61"/>
    <w:rsid w:val="00CB4212"/>
    <w:rsid w:val="00CB443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3F5E"/>
    <w:rsid w:val="00CD4DA3"/>
    <w:rsid w:val="00CD6E97"/>
    <w:rsid w:val="00CD736C"/>
    <w:rsid w:val="00CD761D"/>
    <w:rsid w:val="00CD76B5"/>
    <w:rsid w:val="00CE030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90C"/>
    <w:rsid w:val="00D42EB8"/>
    <w:rsid w:val="00D44922"/>
    <w:rsid w:val="00D44932"/>
    <w:rsid w:val="00D45AA1"/>
    <w:rsid w:val="00D46111"/>
    <w:rsid w:val="00D46638"/>
    <w:rsid w:val="00D47953"/>
    <w:rsid w:val="00D47C16"/>
    <w:rsid w:val="00D502AF"/>
    <w:rsid w:val="00D503C5"/>
    <w:rsid w:val="00D506E9"/>
    <w:rsid w:val="00D50709"/>
    <w:rsid w:val="00D50764"/>
    <w:rsid w:val="00D50C12"/>
    <w:rsid w:val="00D518AB"/>
    <w:rsid w:val="00D518FF"/>
    <w:rsid w:val="00D51A77"/>
    <w:rsid w:val="00D52751"/>
    <w:rsid w:val="00D52B2B"/>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2F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77E63"/>
    <w:rsid w:val="00D80831"/>
    <w:rsid w:val="00D80C81"/>
    <w:rsid w:val="00D80F4C"/>
    <w:rsid w:val="00D81A83"/>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1AB5"/>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47C"/>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69"/>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3A6F"/>
    <w:rsid w:val="00E5472C"/>
    <w:rsid w:val="00E54961"/>
    <w:rsid w:val="00E54A7E"/>
    <w:rsid w:val="00E564C4"/>
    <w:rsid w:val="00E567C9"/>
    <w:rsid w:val="00E56D51"/>
    <w:rsid w:val="00E57446"/>
    <w:rsid w:val="00E57BB6"/>
    <w:rsid w:val="00E57CE4"/>
    <w:rsid w:val="00E604C4"/>
    <w:rsid w:val="00E60809"/>
    <w:rsid w:val="00E60991"/>
    <w:rsid w:val="00E61300"/>
    <w:rsid w:val="00E614F2"/>
    <w:rsid w:val="00E62665"/>
    <w:rsid w:val="00E635B9"/>
    <w:rsid w:val="00E63F1C"/>
    <w:rsid w:val="00E641F4"/>
    <w:rsid w:val="00E65041"/>
    <w:rsid w:val="00E65D15"/>
    <w:rsid w:val="00E66C49"/>
    <w:rsid w:val="00E66E4D"/>
    <w:rsid w:val="00E67EE5"/>
    <w:rsid w:val="00E67F04"/>
    <w:rsid w:val="00E7013A"/>
    <w:rsid w:val="00E70184"/>
    <w:rsid w:val="00E70D26"/>
    <w:rsid w:val="00E70D40"/>
    <w:rsid w:val="00E74F5D"/>
    <w:rsid w:val="00E76034"/>
    <w:rsid w:val="00E765C3"/>
    <w:rsid w:val="00E7685B"/>
    <w:rsid w:val="00E769A9"/>
    <w:rsid w:val="00E7751B"/>
    <w:rsid w:val="00E80371"/>
    <w:rsid w:val="00E80440"/>
    <w:rsid w:val="00E80515"/>
    <w:rsid w:val="00E8154A"/>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BCD"/>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26EE"/>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7B4"/>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1C64"/>
    <w:rsid w:val="00F12351"/>
    <w:rsid w:val="00F12A9A"/>
    <w:rsid w:val="00F16739"/>
    <w:rsid w:val="00F16DE2"/>
    <w:rsid w:val="00F17C5F"/>
    <w:rsid w:val="00F200EF"/>
    <w:rsid w:val="00F2052B"/>
    <w:rsid w:val="00F210C7"/>
    <w:rsid w:val="00F213FF"/>
    <w:rsid w:val="00F221B1"/>
    <w:rsid w:val="00F2260F"/>
    <w:rsid w:val="00F242AD"/>
    <w:rsid w:val="00F247F2"/>
    <w:rsid w:val="00F24970"/>
    <w:rsid w:val="00F252A8"/>
    <w:rsid w:val="00F2608D"/>
    <w:rsid w:val="00F260F7"/>
    <w:rsid w:val="00F2619B"/>
    <w:rsid w:val="00F265F7"/>
    <w:rsid w:val="00F27A9C"/>
    <w:rsid w:val="00F27C15"/>
    <w:rsid w:val="00F27FA6"/>
    <w:rsid w:val="00F30B70"/>
    <w:rsid w:val="00F30C74"/>
    <w:rsid w:val="00F321E4"/>
    <w:rsid w:val="00F321F1"/>
    <w:rsid w:val="00F324CC"/>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5F0D"/>
    <w:rsid w:val="00F560FE"/>
    <w:rsid w:val="00F5669F"/>
    <w:rsid w:val="00F5681C"/>
    <w:rsid w:val="00F57274"/>
    <w:rsid w:val="00F605B6"/>
    <w:rsid w:val="00F6111C"/>
    <w:rsid w:val="00F613EC"/>
    <w:rsid w:val="00F614C0"/>
    <w:rsid w:val="00F61647"/>
    <w:rsid w:val="00F61B4F"/>
    <w:rsid w:val="00F61F5F"/>
    <w:rsid w:val="00F62872"/>
    <w:rsid w:val="00F62C0A"/>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0B5"/>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880"/>
    <w:rsid w:val="00F85EBE"/>
    <w:rsid w:val="00F864B2"/>
    <w:rsid w:val="00F869E0"/>
    <w:rsid w:val="00F87032"/>
    <w:rsid w:val="00F87094"/>
    <w:rsid w:val="00F87AB3"/>
    <w:rsid w:val="00F913DC"/>
    <w:rsid w:val="00F9161B"/>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462"/>
    <w:rsid w:val="00FB1B36"/>
    <w:rsid w:val="00FB2379"/>
    <w:rsid w:val="00FB31C3"/>
    <w:rsid w:val="00FB391B"/>
    <w:rsid w:val="00FB4888"/>
    <w:rsid w:val="00FB4A7A"/>
    <w:rsid w:val="00FB4B8A"/>
    <w:rsid w:val="00FB5152"/>
    <w:rsid w:val="00FB59FD"/>
    <w:rsid w:val="00FB680E"/>
    <w:rsid w:val="00FC0065"/>
    <w:rsid w:val="00FC0E90"/>
    <w:rsid w:val="00FC11B7"/>
    <w:rsid w:val="00FC13C5"/>
    <w:rsid w:val="00FC1A72"/>
    <w:rsid w:val="00FC3811"/>
    <w:rsid w:val="00FC3AEE"/>
    <w:rsid w:val="00FC4137"/>
    <w:rsid w:val="00FC445A"/>
    <w:rsid w:val="00FC56FA"/>
    <w:rsid w:val="00FC6238"/>
    <w:rsid w:val="00FC78AD"/>
    <w:rsid w:val="00FC7BD8"/>
    <w:rsid w:val="00FD01C4"/>
    <w:rsid w:val="00FD0D70"/>
    <w:rsid w:val="00FD1E00"/>
    <w:rsid w:val="00FD22EB"/>
    <w:rsid w:val="00FD26B6"/>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0BF"/>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78C"/>
    <w:rsid w:val="00FF6822"/>
    <w:rsid w:val="00FF6EB6"/>
    <w:rsid w:val="00FF73D0"/>
    <w:rsid w:val="00FF7D43"/>
    <w:rsid w:val="088190D0"/>
    <w:rsid w:val="0FDC08DB"/>
    <w:rsid w:val="14CAD5E4"/>
    <w:rsid w:val="14D5A090"/>
    <w:rsid w:val="17124F94"/>
    <w:rsid w:val="1A928BB7"/>
    <w:rsid w:val="1CEFF1BD"/>
    <w:rsid w:val="34B8A9D4"/>
    <w:rsid w:val="48E45AC9"/>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42D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autoRedefine/>
    <w:qFormat/>
    <w:rsid w:val="003B3014"/>
    <w:pPr>
      <w:keepNext/>
      <w:keepLines/>
      <w:numPr>
        <w:numId w:val="7"/>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7B3F32"/>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356BB6"/>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7"/>
      </w:numPr>
      <w:outlineLvl w:val="5"/>
    </w:pPr>
  </w:style>
  <w:style w:type="paragraph" w:styleId="Heading7">
    <w:name w:val="heading 7"/>
    <w:basedOn w:val="H6"/>
    <w:next w:val="Normal"/>
    <w:qFormat/>
    <w:rsid w:val="005831DD"/>
    <w:pPr>
      <w:numPr>
        <w:ilvl w:val="6"/>
        <w:numId w:val="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7B3F32"/>
    <w:rPr>
      <w:rFonts w:ascii="Arial" w:hAnsi="Arial"/>
      <w:sz w:val="32"/>
      <w:lang w:val="en-GB"/>
    </w:rPr>
  </w:style>
  <w:style w:type="paragraph" w:customStyle="1" w:styleId="bullet">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3"/>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 w:type="character" w:customStyle="1" w:styleId="B1Zchn">
    <w:name w:val="B1 Zchn"/>
    <w:qFormat/>
    <w:rsid w:val="005056D1"/>
    <w:rPr>
      <w:lang w:eastAsia="en-US"/>
    </w:rPr>
  </w:style>
  <w:style w:type="character" w:customStyle="1" w:styleId="B2Char">
    <w:name w:val="B2 Char"/>
    <w:link w:val="B2"/>
    <w:qFormat/>
    <w:rsid w:val="005056D1"/>
    <w:rPr>
      <w:rFonts w:ascii="Times New Roman" w:hAnsi="Times New Roman"/>
      <w:lang w:val="en-GB"/>
    </w:rPr>
  </w:style>
  <w:style w:type="paragraph" w:customStyle="1" w:styleId="StatementBody">
    <w:name w:val="Statement Body"/>
    <w:basedOn w:val="Normal"/>
    <w:rsid w:val="00084FCA"/>
    <w:pPr>
      <w:numPr>
        <w:numId w:val="6"/>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TALCar">
    <w:name w:val="TAL Car"/>
    <w:link w:val="TAL"/>
    <w:qFormat/>
    <w:rsid w:val="003B3014"/>
    <w:rPr>
      <w:rFonts w:ascii="Arial" w:hAnsi="Arial"/>
      <w:sz w:val="18"/>
      <w:lang w:val="en-GB"/>
    </w:rPr>
  </w:style>
  <w:style w:type="character" w:styleId="Mention">
    <w:name w:val="Mention"/>
    <w:basedOn w:val="DefaultParagraphFont"/>
    <w:uiPriority w:val="99"/>
    <w:unhideWhenUsed/>
    <w:rsid w:val="00B66E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438259462">
          <w:marLeft w:val="1800"/>
          <w:marRight w:val="0"/>
          <w:marTop w:val="100"/>
          <w:marBottom w:val="0"/>
          <w:divBdr>
            <w:top w:val="none" w:sz="0" w:space="0" w:color="auto"/>
            <w:left w:val="none" w:sz="0" w:space="0" w:color="auto"/>
            <w:bottom w:val="none" w:sz="0" w:space="0" w:color="auto"/>
            <w:right w:val="none" w:sz="0" w:space="0" w:color="auto"/>
          </w:divBdr>
        </w:div>
        <w:div w:id="1302034767">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12865939">
      <w:bodyDiv w:val="1"/>
      <w:marLeft w:val="0"/>
      <w:marRight w:val="0"/>
      <w:marTop w:val="0"/>
      <w:marBottom w:val="0"/>
      <w:divBdr>
        <w:top w:val="none" w:sz="0" w:space="0" w:color="auto"/>
        <w:left w:val="none" w:sz="0" w:space="0" w:color="auto"/>
        <w:bottom w:val="none" w:sz="0" w:space="0" w:color="auto"/>
        <w:right w:val="none" w:sz="0" w:space="0" w:color="auto"/>
      </w:divBdr>
      <w:divsChild>
        <w:div w:id="397824649">
          <w:marLeft w:val="547"/>
          <w:marRight w:val="0"/>
          <w:marTop w:val="0"/>
          <w:marBottom w:val="0"/>
          <w:divBdr>
            <w:top w:val="none" w:sz="0" w:space="0" w:color="auto"/>
            <w:left w:val="none" w:sz="0" w:space="0" w:color="auto"/>
            <w:bottom w:val="none" w:sz="0" w:space="0" w:color="auto"/>
            <w:right w:val="none" w:sz="0" w:space="0" w:color="auto"/>
          </w:divBdr>
        </w:div>
        <w:div w:id="610934342">
          <w:marLeft w:val="547"/>
          <w:marRight w:val="0"/>
          <w:marTop w:val="0"/>
          <w:marBottom w:val="0"/>
          <w:divBdr>
            <w:top w:val="none" w:sz="0" w:space="0" w:color="auto"/>
            <w:left w:val="none" w:sz="0" w:space="0" w:color="auto"/>
            <w:bottom w:val="none" w:sz="0" w:space="0" w:color="auto"/>
            <w:right w:val="none" w:sz="0" w:space="0" w:color="auto"/>
          </w:divBdr>
        </w:div>
        <w:div w:id="350955423">
          <w:marLeft w:val="547"/>
          <w:marRight w:val="0"/>
          <w:marTop w:val="0"/>
          <w:marBottom w:val="0"/>
          <w:divBdr>
            <w:top w:val="none" w:sz="0" w:space="0" w:color="auto"/>
            <w:left w:val="none" w:sz="0" w:space="0" w:color="auto"/>
            <w:bottom w:val="none" w:sz="0" w:space="0" w:color="auto"/>
            <w:right w:val="none" w:sz="0" w:space="0" w:color="auto"/>
          </w:divBdr>
        </w:div>
        <w:div w:id="1697266322">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9171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423697">
      <w:bodyDiv w:val="1"/>
      <w:marLeft w:val="0"/>
      <w:marRight w:val="0"/>
      <w:marTop w:val="0"/>
      <w:marBottom w:val="0"/>
      <w:divBdr>
        <w:top w:val="none" w:sz="0" w:space="0" w:color="auto"/>
        <w:left w:val="none" w:sz="0" w:space="0" w:color="auto"/>
        <w:bottom w:val="none" w:sz="0" w:space="0" w:color="auto"/>
        <w:right w:val="none" w:sz="0" w:space="0" w:color="auto"/>
      </w:divBdr>
      <w:divsChild>
        <w:div w:id="1716464273">
          <w:marLeft w:val="274"/>
          <w:marRight w:val="0"/>
          <w:marTop w:val="0"/>
          <w:marBottom w:val="0"/>
          <w:divBdr>
            <w:top w:val="none" w:sz="0" w:space="0" w:color="auto"/>
            <w:left w:val="none" w:sz="0" w:space="0" w:color="auto"/>
            <w:bottom w:val="none" w:sz="0" w:space="0" w:color="auto"/>
            <w:right w:val="none" w:sz="0" w:space="0" w:color="auto"/>
          </w:divBdr>
        </w:div>
        <w:div w:id="180167794">
          <w:marLeft w:val="274"/>
          <w:marRight w:val="0"/>
          <w:marTop w:val="0"/>
          <w:marBottom w:val="0"/>
          <w:divBdr>
            <w:top w:val="none" w:sz="0" w:space="0" w:color="auto"/>
            <w:left w:val="none" w:sz="0" w:space="0" w:color="auto"/>
            <w:bottom w:val="none" w:sz="0" w:space="0" w:color="auto"/>
            <w:right w:val="none" w:sz="0" w:space="0" w:color="auto"/>
          </w:divBdr>
        </w:div>
        <w:div w:id="1394232888">
          <w:marLeft w:val="994"/>
          <w:marRight w:val="0"/>
          <w:marTop w:val="0"/>
          <w:marBottom w:val="0"/>
          <w:divBdr>
            <w:top w:val="none" w:sz="0" w:space="0" w:color="auto"/>
            <w:left w:val="none" w:sz="0" w:space="0" w:color="auto"/>
            <w:bottom w:val="none" w:sz="0" w:space="0" w:color="auto"/>
            <w:right w:val="none" w:sz="0" w:space="0" w:color="auto"/>
          </w:divBdr>
        </w:div>
        <w:div w:id="1956911760">
          <w:marLeft w:val="994"/>
          <w:marRight w:val="0"/>
          <w:marTop w:val="0"/>
          <w:marBottom w:val="0"/>
          <w:divBdr>
            <w:top w:val="none" w:sz="0" w:space="0" w:color="auto"/>
            <w:left w:val="none" w:sz="0" w:space="0" w:color="auto"/>
            <w:bottom w:val="none" w:sz="0" w:space="0" w:color="auto"/>
            <w:right w:val="none" w:sz="0" w:space="0" w:color="auto"/>
          </w:divBdr>
        </w:div>
        <w:div w:id="1218320651">
          <w:marLeft w:val="274"/>
          <w:marRight w:val="0"/>
          <w:marTop w:val="0"/>
          <w:marBottom w:val="0"/>
          <w:divBdr>
            <w:top w:val="none" w:sz="0" w:space="0" w:color="auto"/>
            <w:left w:val="none" w:sz="0" w:space="0" w:color="auto"/>
            <w:bottom w:val="none" w:sz="0" w:space="0" w:color="auto"/>
            <w:right w:val="none" w:sz="0" w:space="0" w:color="auto"/>
          </w:divBdr>
        </w:div>
        <w:div w:id="590940354">
          <w:marLeft w:val="274"/>
          <w:marRight w:val="0"/>
          <w:marTop w:val="0"/>
          <w:marBottom w:val="0"/>
          <w:divBdr>
            <w:top w:val="none" w:sz="0" w:space="0" w:color="auto"/>
            <w:left w:val="none" w:sz="0" w:space="0" w:color="auto"/>
            <w:bottom w:val="none" w:sz="0" w:space="0" w:color="auto"/>
            <w:right w:val="none" w:sz="0" w:space="0" w:color="auto"/>
          </w:divBdr>
        </w:div>
      </w:divsChild>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2965744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46155">
      <w:bodyDiv w:val="1"/>
      <w:marLeft w:val="0"/>
      <w:marRight w:val="0"/>
      <w:marTop w:val="0"/>
      <w:marBottom w:val="0"/>
      <w:divBdr>
        <w:top w:val="none" w:sz="0" w:space="0" w:color="auto"/>
        <w:left w:val="none" w:sz="0" w:space="0" w:color="auto"/>
        <w:bottom w:val="none" w:sz="0" w:space="0" w:color="auto"/>
        <w:right w:val="none" w:sz="0" w:space="0" w:color="auto"/>
      </w:divBdr>
      <w:divsChild>
        <w:div w:id="1201743113">
          <w:marLeft w:val="547"/>
          <w:marRight w:val="0"/>
          <w:marTop w:val="0"/>
          <w:marBottom w:val="0"/>
          <w:divBdr>
            <w:top w:val="none" w:sz="0" w:space="0" w:color="auto"/>
            <w:left w:val="none" w:sz="0" w:space="0" w:color="auto"/>
            <w:bottom w:val="none" w:sz="0" w:space="0" w:color="auto"/>
            <w:right w:val="none" w:sz="0" w:space="0" w:color="auto"/>
          </w:divBdr>
        </w:div>
        <w:div w:id="544374494">
          <w:marLeft w:val="547"/>
          <w:marRight w:val="0"/>
          <w:marTop w:val="0"/>
          <w:marBottom w:val="0"/>
          <w:divBdr>
            <w:top w:val="none" w:sz="0" w:space="0" w:color="auto"/>
            <w:left w:val="none" w:sz="0" w:space="0" w:color="auto"/>
            <w:bottom w:val="none" w:sz="0" w:space="0" w:color="auto"/>
            <w:right w:val="none" w:sz="0" w:space="0" w:color="auto"/>
          </w:divBdr>
        </w:div>
        <w:div w:id="1926763523">
          <w:marLeft w:val="547"/>
          <w:marRight w:val="0"/>
          <w:marTop w:val="0"/>
          <w:marBottom w:val="0"/>
          <w:divBdr>
            <w:top w:val="none" w:sz="0" w:space="0" w:color="auto"/>
            <w:left w:val="none" w:sz="0" w:space="0" w:color="auto"/>
            <w:bottom w:val="none" w:sz="0" w:space="0" w:color="auto"/>
            <w:right w:val="none" w:sz="0" w:space="0" w:color="auto"/>
          </w:divBdr>
        </w:div>
        <w:div w:id="1382092371">
          <w:marLeft w:val="547"/>
          <w:marRight w:val="0"/>
          <w:marTop w:val="0"/>
          <w:marBottom w:val="0"/>
          <w:divBdr>
            <w:top w:val="none" w:sz="0" w:space="0" w:color="auto"/>
            <w:left w:val="none" w:sz="0" w:space="0" w:color="auto"/>
            <w:bottom w:val="none" w:sz="0" w:space="0" w:color="auto"/>
            <w:right w:val="none" w:sz="0" w:space="0" w:color="auto"/>
          </w:divBdr>
        </w:div>
      </w:divsChild>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592784776">
      <w:bodyDiv w:val="1"/>
      <w:marLeft w:val="0"/>
      <w:marRight w:val="0"/>
      <w:marTop w:val="0"/>
      <w:marBottom w:val="0"/>
      <w:divBdr>
        <w:top w:val="none" w:sz="0" w:space="0" w:color="auto"/>
        <w:left w:val="none" w:sz="0" w:space="0" w:color="auto"/>
        <w:bottom w:val="none" w:sz="0" w:space="0" w:color="auto"/>
        <w:right w:val="none" w:sz="0" w:space="0" w:color="auto"/>
      </w:divBdr>
      <w:divsChild>
        <w:div w:id="1365711554">
          <w:marLeft w:val="547"/>
          <w:marRight w:val="0"/>
          <w:marTop w:val="0"/>
          <w:marBottom w:val="0"/>
          <w:divBdr>
            <w:top w:val="none" w:sz="0" w:space="0" w:color="auto"/>
            <w:left w:val="none" w:sz="0" w:space="0" w:color="auto"/>
            <w:bottom w:val="none" w:sz="0" w:space="0" w:color="auto"/>
            <w:right w:val="none" w:sz="0" w:space="0" w:color="auto"/>
          </w:divBdr>
        </w:div>
        <w:div w:id="1584220192">
          <w:marLeft w:val="547"/>
          <w:marRight w:val="0"/>
          <w:marTop w:val="0"/>
          <w:marBottom w:val="0"/>
          <w:divBdr>
            <w:top w:val="none" w:sz="0" w:space="0" w:color="auto"/>
            <w:left w:val="none" w:sz="0" w:space="0" w:color="auto"/>
            <w:bottom w:val="none" w:sz="0" w:space="0" w:color="auto"/>
            <w:right w:val="none" w:sz="0" w:space="0" w:color="auto"/>
          </w:divBdr>
        </w:div>
        <w:div w:id="2027168950">
          <w:marLeft w:val="547"/>
          <w:marRight w:val="0"/>
          <w:marTop w:val="0"/>
          <w:marBottom w:val="0"/>
          <w:divBdr>
            <w:top w:val="none" w:sz="0" w:space="0" w:color="auto"/>
            <w:left w:val="none" w:sz="0" w:space="0" w:color="auto"/>
            <w:bottom w:val="none" w:sz="0" w:space="0" w:color="auto"/>
            <w:right w:val="none" w:sz="0" w:space="0" w:color="auto"/>
          </w:divBdr>
        </w:div>
        <w:div w:id="505748106">
          <w:marLeft w:val="547"/>
          <w:marRight w:val="0"/>
          <w:marTop w:val="0"/>
          <w:marBottom w:val="0"/>
          <w:divBdr>
            <w:top w:val="none" w:sz="0" w:space="0" w:color="auto"/>
            <w:left w:val="none" w:sz="0" w:space="0" w:color="auto"/>
            <w:bottom w:val="none" w:sz="0" w:space="0" w:color="auto"/>
            <w:right w:val="none" w:sz="0" w:space="0" w:color="auto"/>
          </w:divBdr>
        </w:div>
        <w:div w:id="932277480">
          <w:marLeft w:val="1166"/>
          <w:marRight w:val="0"/>
          <w:marTop w:val="0"/>
          <w:marBottom w:val="0"/>
          <w:divBdr>
            <w:top w:val="none" w:sz="0" w:space="0" w:color="auto"/>
            <w:left w:val="none" w:sz="0" w:space="0" w:color="auto"/>
            <w:bottom w:val="none" w:sz="0" w:space="0" w:color="auto"/>
            <w:right w:val="none" w:sz="0" w:space="0" w:color="auto"/>
          </w:divBdr>
        </w:div>
      </w:divsChild>
    </w:div>
    <w:div w:id="593586529">
      <w:bodyDiv w:val="1"/>
      <w:marLeft w:val="0"/>
      <w:marRight w:val="0"/>
      <w:marTop w:val="0"/>
      <w:marBottom w:val="0"/>
      <w:divBdr>
        <w:top w:val="none" w:sz="0" w:space="0" w:color="auto"/>
        <w:left w:val="none" w:sz="0" w:space="0" w:color="auto"/>
        <w:bottom w:val="none" w:sz="0" w:space="0" w:color="auto"/>
        <w:right w:val="none" w:sz="0" w:space="0" w:color="auto"/>
      </w:divBdr>
    </w:div>
    <w:div w:id="603852093">
      <w:bodyDiv w:val="1"/>
      <w:marLeft w:val="0"/>
      <w:marRight w:val="0"/>
      <w:marTop w:val="0"/>
      <w:marBottom w:val="0"/>
      <w:divBdr>
        <w:top w:val="none" w:sz="0" w:space="0" w:color="auto"/>
        <w:left w:val="none" w:sz="0" w:space="0" w:color="auto"/>
        <w:bottom w:val="none" w:sz="0" w:space="0" w:color="auto"/>
        <w:right w:val="none" w:sz="0" w:space="0" w:color="auto"/>
      </w:divBdr>
      <w:divsChild>
        <w:div w:id="729619038">
          <w:marLeft w:val="547"/>
          <w:marRight w:val="0"/>
          <w:marTop w:val="0"/>
          <w:marBottom w:val="160"/>
          <w:divBdr>
            <w:top w:val="none" w:sz="0" w:space="0" w:color="auto"/>
            <w:left w:val="none" w:sz="0" w:space="0" w:color="auto"/>
            <w:bottom w:val="none" w:sz="0" w:space="0" w:color="auto"/>
            <w:right w:val="none" w:sz="0" w:space="0" w:color="auto"/>
          </w:divBdr>
        </w:div>
        <w:div w:id="62025763">
          <w:marLeft w:val="547"/>
          <w:marRight w:val="0"/>
          <w:marTop w:val="0"/>
          <w:marBottom w:val="160"/>
          <w:divBdr>
            <w:top w:val="none" w:sz="0" w:space="0" w:color="auto"/>
            <w:left w:val="none" w:sz="0" w:space="0" w:color="auto"/>
            <w:bottom w:val="none" w:sz="0" w:space="0" w:color="auto"/>
            <w:right w:val="none" w:sz="0" w:space="0" w:color="auto"/>
          </w:divBdr>
        </w:div>
      </w:divsChild>
    </w:div>
    <w:div w:id="62759347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25833131">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30313771">
      <w:bodyDiv w:val="1"/>
      <w:marLeft w:val="0"/>
      <w:marRight w:val="0"/>
      <w:marTop w:val="0"/>
      <w:marBottom w:val="0"/>
      <w:divBdr>
        <w:top w:val="none" w:sz="0" w:space="0" w:color="auto"/>
        <w:left w:val="none" w:sz="0" w:space="0" w:color="auto"/>
        <w:bottom w:val="none" w:sz="0" w:space="0" w:color="auto"/>
        <w:right w:val="none" w:sz="0" w:space="0" w:color="auto"/>
      </w:divBdr>
      <w:divsChild>
        <w:div w:id="526334620">
          <w:marLeft w:val="547"/>
          <w:marRight w:val="0"/>
          <w:marTop w:val="0"/>
          <w:marBottom w:val="0"/>
          <w:divBdr>
            <w:top w:val="none" w:sz="0" w:space="0" w:color="auto"/>
            <w:left w:val="none" w:sz="0" w:space="0" w:color="auto"/>
            <w:bottom w:val="none" w:sz="0" w:space="0" w:color="auto"/>
            <w:right w:val="none" w:sz="0" w:space="0" w:color="auto"/>
          </w:divBdr>
        </w:div>
        <w:div w:id="693068820">
          <w:marLeft w:val="1166"/>
          <w:marRight w:val="0"/>
          <w:marTop w:val="0"/>
          <w:marBottom w:val="0"/>
          <w:divBdr>
            <w:top w:val="none" w:sz="0" w:space="0" w:color="auto"/>
            <w:left w:val="none" w:sz="0" w:space="0" w:color="auto"/>
            <w:bottom w:val="none" w:sz="0" w:space="0" w:color="auto"/>
            <w:right w:val="none" w:sz="0" w:space="0" w:color="auto"/>
          </w:divBdr>
        </w:div>
        <w:div w:id="1639264734">
          <w:marLeft w:val="547"/>
          <w:marRight w:val="0"/>
          <w:marTop w:val="0"/>
          <w:marBottom w:val="0"/>
          <w:divBdr>
            <w:top w:val="none" w:sz="0" w:space="0" w:color="auto"/>
            <w:left w:val="none" w:sz="0" w:space="0" w:color="auto"/>
            <w:bottom w:val="none" w:sz="0" w:space="0" w:color="auto"/>
            <w:right w:val="none" w:sz="0" w:space="0" w:color="auto"/>
          </w:divBdr>
        </w:div>
        <w:div w:id="1617129207">
          <w:marLeft w:val="1166"/>
          <w:marRight w:val="0"/>
          <w:marTop w:val="0"/>
          <w:marBottom w:val="0"/>
          <w:divBdr>
            <w:top w:val="none" w:sz="0" w:space="0" w:color="auto"/>
            <w:left w:val="none" w:sz="0" w:space="0" w:color="auto"/>
            <w:bottom w:val="none" w:sz="0" w:space="0" w:color="auto"/>
            <w:right w:val="none" w:sz="0" w:space="0" w:color="auto"/>
          </w:divBdr>
        </w:div>
        <w:div w:id="984089970">
          <w:marLeft w:val="547"/>
          <w:marRight w:val="0"/>
          <w:marTop w:val="0"/>
          <w:marBottom w:val="0"/>
          <w:divBdr>
            <w:top w:val="none" w:sz="0" w:space="0" w:color="auto"/>
            <w:left w:val="none" w:sz="0" w:space="0" w:color="auto"/>
            <w:bottom w:val="none" w:sz="0" w:space="0" w:color="auto"/>
            <w:right w:val="none" w:sz="0" w:space="0" w:color="auto"/>
          </w:divBdr>
        </w:div>
        <w:div w:id="1464036335">
          <w:marLeft w:val="1166"/>
          <w:marRight w:val="0"/>
          <w:marTop w:val="0"/>
          <w:marBottom w:val="0"/>
          <w:divBdr>
            <w:top w:val="none" w:sz="0" w:space="0" w:color="auto"/>
            <w:left w:val="none" w:sz="0" w:space="0" w:color="auto"/>
            <w:bottom w:val="none" w:sz="0" w:space="0" w:color="auto"/>
            <w:right w:val="none" w:sz="0" w:space="0" w:color="auto"/>
          </w:divBdr>
        </w:div>
        <w:div w:id="1168398108">
          <w:marLeft w:val="547"/>
          <w:marRight w:val="0"/>
          <w:marTop w:val="0"/>
          <w:marBottom w:val="0"/>
          <w:divBdr>
            <w:top w:val="none" w:sz="0" w:space="0" w:color="auto"/>
            <w:left w:val="none" w:sz="0" w:space="0" w:color="auto"/>
            <w:bottom w:val="none" w:sz="0" w:space="0" w:color="auto"/>
            <w:right w:val="none" w:sz="0" w:space="0" w:color="auto"/>
          </w:divBdr>
        </w:div>
        <w:div w:id="2102600847">
          <w:marLeft w:val="1166"/>
          <w:marRight w:val="0"/>
          <w:marTop w:val="0"/>
          <w:marBottom w:val="0"/>
          <w:divBdr>
            <w:top w:val="none" w:sz="0" w:space="0" w:color="auto"/>
            <w:left w:val="none" w:sz="0" w:space="0" w:color="auto"/>
            <w:bottom w:val="none" w:sz="0" w:space="0" w:color="auto"/>
            <w:right w:val="none" w:sz="0" w:space="0" w:color="auto"/>
          </w:divBdr>
        </w:div>
        <w:div w:id="1910649834">
          <w:marLeft w:val="547"/>
          <w:marRight w:val="0"/>
          <w:marTop w:val="0"/>
          <w:marBottom w:val="0"/>
          <w:divBdr>
            <w:top w:val="none" w:sz="0" w:space="0" w:color="auto"/>
            <w:left w:val="none" w:sz="0" w:space="0" w:color="auto"/>
            <w:bottom w:val="none" w:sz="0" w:space="0" w:color="auto"/>
            <w:right w:val="none" w:sz="0" w:space="0" w:color="auto"/>
          </w:divBdr>
        </w:div>
        <w:div w:id="644428274">
          <w:marLeft w:val="547"/>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4022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746727526">
          <w:marLeft w:val="1800"/>
          <w:marRight w:val="0"/>
          <w:marTop w:val="100"/>
          <w:marBottom w:val="0"/>
          <w:divBdr>
            <w:top w:val="none" w:sz="0" w:space="0" w:color="auto"/>
            <w:left w:val="none" w:sz="0" w:space="0" w:color="auto"/>
            <w:bottom w:val="none" w:sz="0" w:space="0" w:color="auto"/>
            <w:right w:val="none" w:sz="0" w:space="0" w:color="auto"/>
          </w:divBdr>
        </w:div>
        <w:div w:id="331375064">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5668603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9112875">
      <w:bodyDiv w:val="1"/>
      <w:marLeft w:val="0"/>
      <w:marRight w:val="0"/>
      <w:marTop w:val="0"/>
      <w:marBottom w:val="0"/>
      <w:divBdr>
        <w:top w:val="none" w:sz="0" w:space="0" w:color="auto"/>
        <w:left w:val="none" w:sz="0" w:space="0" w:color="auto"/>
        <w:bottom w:val="none" w:sz="0" w:space="0" w:color="auto"/>
        <w:right w:val="none" w:sz="0" w:space="0" w:color="auto"/>
      </w:divBdr>
      <w:divsChild>
        <w:div w:id="1483158188">
          <w:marLeft w:val="446"/>
          <w:marRight w:val="0"/>
          <w:marTop w:val="0"/>
          <w:marBottom w:val="120"/>
          <w:divBdr>
            <w:top w:val="none" w:sz="0" w:space="0" w:color="auto"/>
            <w:left w:val="none" w:sz="0" w:space="0" w:color="auto"/>
            <w:bottom w:val="none" w:sz="0" w:space="0" w:color="auto"/>
            <w:right w:val="none" w:sz="0" w:space="0" w:color="auto"/>
          </w:divBdr>
        </w:div>
        <w:div w:id="915866340">
          <w:marLeft w:val="1166"/>
          <w:marRight w:val="0"/>
          <w:marTop w:val="0"/>
          <w:marBottom w:val="120"/>
          <w:divBdr>
            <w:top w:val="none" w:sz="0" w:space="0" w:color="auto"/>
            <w:left w:val="none" w:sz="0" w:space="0" w:color="auto"/>
            <w:bottom w:val="none" w:sz="0" w:space="0" w:color="auto"/>
            <w:right w:val="none" w:sz="0" w:space="0" w:color="auto"/>
          </w:divBdr>
        </w:div>
        <w:div w:id="1583874884">
          <w:marLeft w:val="1166"/>
          <w:marRight w:val="0"/>
          <w:marTop w:val="0"/>
          <w:marBottom w:val="120"/>
          <w:divBdr>
            <w:top w:val="none" w:sz="0" w:space="0" w:color="auto"/>
            <w:left w:val="none" w:sz="0" w:space="0" w:color="auto"/>
            <w:bottom w:val="none" w:sz="0" w:space="0" w:color="auto"/>
            <w:right w:val="none" w:sz="0" w:space="0" w:color="auto"/>
          </w:divBdr>
        </w:div>
        <w:div w:id="1194464399">
          <w:marLeft w:val="446"/>
          <w:marRight w:val="0"/>
          <w:marTop w:val="0"/>
          <w:marBottom w:val="120"/>
          <w:divBdr>
            <w:top w:val="none" w:sz="0" w:space="0" w:color="auto"/>
            <w:left w:val="none" w:sz="0" w:space="0" w:color="auto"/>
            <w:bottom w:val="none" w:sz="0" w:space="0" w:color="auto"/>
            <w:right w:val="none" w:sz="0" w:space="0" w:color="auto"/>
          </w:divBdr>
        </w:div>
      </w:divsChild>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1662077791">
          <w:marLeft w:val="274"/>
          <w:marRight w:val="0"/>
          <w:marTop w:val="0"/>
          <w:marBottom w:val="120"/>
          <w:divBdr>
            <w:top w:val="none" w:sz="0" w:space="0" w:color="auto"/>
            <w:left w:val="none" w:sz="0" w:space="0" w:color="auto"/>
            <w:bottom w:val="none" w:sz="0" w:space="0" w:color="auto"/>
            <w:right w:val="none" w:sz="0" w:space="0" w:color="auto"/>
          </w:divBdr>
        </w:div>
        <w:div w:id="278798968">
          <w:marLeft w:val="274"/>
          <w:marRight w:val="0"/>
          <w:marTop w:val="0"/>
          <w:marBottom w:val="120"/>
          <w:divBdr>
            <w:top w:val="none" w:sz="0" w:space="0" w:color="auto"/>
            <w:left w:val="none" w:sz="0" w:space="0" w:color="auto"/>
            <w:bottom w:val="none" w:sz="0" w:space="0" w:color="auto"/>
            <w:right w:val="none" w:sz="0" w:space="0" w:color="auto"/>
          </w:divBdr>
        </w:div>
      </w:divsChild>
    </w:div>
    <w:div w:id="1476875423">
      <w:bodyDiv w:val="1"/>
      <w:marLeft w:val="0"/>
      <w:marRight w:val="0"/>
      <w:marTop w:val="0"/>
      <w:marBottom w:val="0"/>
      <w:divBdr>
        <w:top w:val="none" w:sz="0" w:space="0" w:color="auto"/>
        <w:left w:val="none" w:sz="0" w:space="0" w:color="auto"/>
        <w:bottom w:val="none" w:sz="0" w:space="0" w:color="auto"/>
        <w:right w:val="none" w:sz="0" w:space="0" w:color="auto"/>
      </w:divBdr>
      <w:divsChild>
        <w:div w:id="1017926516">
          <w:marLeft w:val="547"/>
          <w:marRight w:val="0"/>
          <w:marTop w:val="0"/>
          <w:marBottom w:val="160"/>
          <w:divBdr>
            <w:top w:val="none" w:sz="0" w:space="0" w:color="auto"/>
            <w:left w:val="none" w:sz="0" w:space="0" w:color="auto"/>
            <w:bottom w:val="none" w:sz="0" w:space="0" w:color="auto"/>
            <w:right w:val="none" w:sz="0" w:space="0" w:color="auto"/>
          </w:divBdr>
        </w:div>
        <w:div w:id="1451314723">
          <w:marLeft w:val="1166"/>
          <w:marRight w:val="0"/>
          <w:marTop w:val="0"/>
          <w:marBottom w:val="160"/>
          <w:divBdr>
            <w:top w:val="none" w:sz="0" w:space="0" w:color="auto"/>
            <w:left w:val="none" w:sz="0" w:space="0" w:color="auto"/>
            <w:bottom w:val="none" w:sz="0" w:space="0" w:color="auto"/>
            <w:right w:val="none" w:sz="0" w:space="0" w:color="auto"/>
          </w:divBdr>
        </w:div>
        <w:div w:id="1255742668">
          <w:marLeft w:val="547"/>
          <w:marRight w:val="0"/>
          <w:marTop w:val="0"/>
          <w:marBottom w:val="160"/>
          <w:divBdr>
            <w:top w:val="none" w:sz="0" w:space="0" w:color="auto"/>
            <w:left w:val="none" w:sz="0" w:space="0" w:color="auto"/>
            <w:bottom w:val="none" w:sz="0" w:space="0" w:color="auto"/>
            <w:right w:val="none" w:sz="0" w:space="0" w:color="auto"/>
          </w:divBdr>
        </w:div>
        <w:div w:id="973949153">
          <w:marLeft w:val="547"/>
          <w:marRight w:val="0"/>
          <w:marTop w:val="0"/>
          <w:marBottom w:val="160"/>
          <w:divBdr>
            <w:top w:val="none" w:sz="0" w:space="0" w:color="auto"/>
            <w:left w:val="none" w:sz="0" w:space="0" w:color="auto"/>
            <w:bottom w:val="none" w:sz="0" w:space="0" w:color="auto"/>
            <w:right w:val="none" w:sz="0" w:space="0" w:color="auto"/>
          </w:divBdr>
        </w:div>
        <w:div w:id="49116771">
          <w:marLeft w:val="547"/>
          <w:marRight w:val="0"/>
          <w:marTop w:val="0"/>
          <w:marBottom w:val="16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4922588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708327">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509176116">
          <w:marLeft w:val="547"/>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9258271">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1989820300">
      <w:bodyDiv w:val="1"/>
      <w:marLeft w:val="0"/>
      <w:marRight w:val="0"/>
      <w:marTop w:val="0"/>
      <w:marBottom w:val="0"/>
      <w:divBdr>
        <w:top w:val="none" w:sz="0" w:space="0" w:color="auto"/>
        <w:left w:val="none" w:sz="0" w:space="0" w:color="auto"/>
        <w:bottom w:val="none" w:sz="0" w:space="0" w:color="auto"/>
        <w:right w:val="none" w:sz="0" w:space="0" w:color="auto"/>
      </w:divBdr>
      <w:divsChild>
        <w:div w:id="836967568">
          <w:marLeft w:val="547"/>
          <w:marRight w:val="0"/>
          <w:marTop w:val="0"/>
          <w:marBottom w:val="160"/>
          <w:divBdr>
            <w:top w:val="none" w:sz="0" w:space="0" w:color="auto"/>
            <w:left w:val="none" w:sz="0" w:space="0" w:color="auto"/>
            <w:bottom w:val="none" w:sz="0" w:space="0" w:color="auto"/>
            <w:right w:val="none" w:sz="0" w:space="0" w:color="auto"/>
          </w:divBdr>
        </w:div>
        <w:div w:id="361589985">
          <w:marLeft w:val="1166"/>
          <w:marRight w:val="0"/>
          <w:marTop w:val="0"/>
          <w:marBottom w:val="160"/>
          <w:divBdr>
            <w:top w:val="none" w:sz="0" w:space="0" w:color="auto"/>
            <w:left w:val="none" w:sz="0" w:space="0" w:color="auto"/>
            <w:bottom w:val="none" w:sz="0" w:space="0" w:color="auto"/>
            <w:right w:val="none" w:sz="0" w:space="0" w:color="auto"/>
          </w:divBdr>
        </w:div>
        <w:div w:id="1270625550">
          <w:marLeft w:val="547"/>
          <w:marRight w:val="0"/>
          <w:marTop w:val="0"/>
          <w:marBottom w:val="160"/>
          <w:divBdr>
            <w:top w:val="none" w:sz="0" w:space="0" w:color="auto"/>
            <w:left w:val="none" w:sz="0" w:space="0" w:color="auto"/>
            <w:bottom w:val="none" w:sz="0" w:space="0" w:color="auto"/>
            <w:right w:val="none" w:sz="0" w:space="0" w:color="auto"/>
          </w:divBdr>
        </w:div>
        <w:div w:id="891624072">
          <w:marLeft w:val="547"/>
          <w:marRight w:val="0"/>
          <w:marTop w:val="0"/>
          <w:marBottom w:val="160"/>
          <w:divBdr>
            <w:top w:val="none" w:sz="0" w:space="0" w:color="auto"/>
            <w:left w:val="none" w:sz="0" w:space="0" w:color="auto"/>
            <w:bottom w:val="none" w:sz="0" w:space="0" w:color="auto"/>
            <w:right w:val="none" w:sz="0" w:space="0" w:color="auto"/>
          </w:divBdr>
        </w:div>
        <w:div w:id="97965009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08610">
      <w:bodyDiv w:val="1"/>
      <w:marLeft w:val="0"/>
      <w:marRight w:val="0"/>
      <w:marTop w:val="0"/>
      <w:marBottom w:val="0"/>
      <w:divBdr>
        <w:top w:val="none" w:sz="0" w:space="0" w:color="auto"/>
        <w:left w:val="none" w:sz="0" w:space="0" w:color="auto"/>
        <w:bottom w:val="none" w:sz="0" w:space="0" w:color="auto"/>
        <w:right w:val="none" w:sz="0" w:space="0" w:color="auto"/>
      </w:divBdr>
      <w:divsChild>
        <w:div w:id="950669079">
          <w:marLeft w:val="547"/>
          <w:marRight w:val="0"/>
          <w:marTop w:val="0"/>
          <w:marBottom w:val="160"/>
          <w:divBdr>
            <w:top w:val="none" w:sz="0" w:space="0" w:color="auto"/>
            <w:left w:val="none" w:sz="0" w:space="0" w:color="auto"/>
            <w:bottom w:val="none" w:sz="0" w:space="0" w:color="auto"/>
            <w:right w:val="none" w:sz="0" w:space="0" w:color="auto"/>
          </w:divBdr>
        </w:div>
        <w:div w:id="1523203997">
          <w:marLeft w:val="547"/>
          <w:marRight w:val="0"/>
          <w:marTop w:val="0"/>
          <w:marBottom w:val="160"/>
          <w:divBdr>
            <w:top w:val="none" w:sz="0" w:space="0" w:color="auto"/>
            <w:left w:val="none" w:sz="0" w:space="0" w:color="auto"/>
            <w:bottom w:val="none" w:sz="0" w:space="0" w:color="auto"/>
            <w:right w:val="none" w:sz="0" w:space="0" w:color="auto"/>
          </w:divBdr>
        </w:div>
      </w:divsChild>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2020-08-07T11:28:00Z</dcterms:created>
  <dcterms:modified xsi:type="dcterms:W3CDTF">2020-08-07T11:28:00Z</dcterms:modified>
</cp:coreProperties>
</file>